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_GB2312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结束后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现场缴付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支持非现金支付方式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）；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进一步检查、复检等检查费用由相关考生另付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或超声检查报告单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心率、</w:t>
      </w:r>
      <w:r>
        <w:rPr>
          <w:rFonts w:hint="eastAsia" w:ascii="仿宋_GB2312" w:hAnsi="宋体" w:eastAsia="仿宋_GB2312"/>
          <w:sz w:val="32"/>
          <w:szCs w:val="32"/>
        </w:rPr>
        <w:t>视力、听力、血压等项目达不到体检合格标准的，可当场向体检实施机关申请复检，经同意后安排当日复检；对边缘性心脏杂音、病理性心电图、病理性杂音、频发早搏（心电图证实）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除当日、当场复检项目外，复检项目须严格保密。《公务员录用体检特殊标准（试行）》中的所有体检项目（如视力、色盲、听力、嗅觉等）不进行复检。复检只能进行一次，结果以复检结论为准。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DkyMDNhZWQ1MmJlNDliODM3Mjg5YmFjYWEzMDUifQ=="/>
  </w:docVars>
  <w:rsids>
    <w:rsidRoot w:val="216A642A"/>
    <w:rsid w:val="10402A6F"/>
    <w:rsid w:val="216A642A"/>
    <w:rsid w:val="236F5370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1133</Characters>
  <Lines>0</Lines>
  <Paragraphs>0</Paragraphs>
  <TotalTime>1</TotalTime>
  <ScaleCrop>false</ScaleCrop>
  <LinksUpToDate>false</LinksUpToDate>
  <CharactersWithSpaces>1133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建议意见：</cp:lastModifiedBy>
  <dcterms:modified xsi:type="dcterms:W3CDTF">2022-08-07T00:47:37Z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4C7557FBDD7D4629A3AB2D23A7803CF8</vt:lpwstr>
  </property>
</Properties>
</file>