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附件2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32"/>
          <w:szCs w:val="32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32"/>
          <w:szCs w:val="32"/>
          <w:lang w:val="zh-CN"/>
        </w:rPr>
        <w:t>体能测评人员守则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1.体能测评人员须持本人有效居民身份证、面试通知单（纸质版）在规定的时间、地点参加体能测评，否则视为放弃资格。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2.体能测评人员在体能测评前，须如实反映本人身体状况，并签订身体状况确认书。对患有严重疾病、怀孕等情况的，如坚持参加体能测评，本人须写出书面情况说明，并自行承担由此产生的意外后果。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3.体能测评为达标性测评，凡其中一项不合格的，体能测评不合格。测评过程中，如一个项目不合格，则不再进行其他项目的测评。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4.体能测评人员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</w:t>
      </w: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行体能测评。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5.体能测评期间实行封闭式管理，体能测评人员需将所有通讯工具、电子储存记忆录放等设备交于工作人员统一保管。测评期间，不得以任何方式向裁判、工作人员透露个人信息。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6.对冒名顶替、弄虚作假等违反体能测评有关规定的，取消测评资格，并视情给予相应处理。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7.体能测评人员对本人或他人的体能测评结果有异议的，应在本测评项目测评成绩宣布后的60分钟内向仲裁委员会提出申诉或举报，仲裁委员会当场予以处理，逾期不再受理。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1C3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2023-04-25T02:50:30Z</dcterms:created>
  <dc:creator>Administrator</dc:creator>
  <cp:lastModifiedBy>Administrator</cp:lastModifiedBy>
  <dcterms:modified xsi:type="dcterms:W3CDTF">2023-04-25T02:51:08Z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D3D9223AFED74CD38B7DFB4484255E76_12</vt:lpwstr>
  </property>
</Properties>
</file>