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jc w:val="left"/>
        <w:rPr>
          <w:rStyle w:val="5"/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Style w:val="5"/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附件</w:t>
      </w:r>
      <w:r>
        <w:rPr>
          <w:rStyle w:val="5"/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1</w:t>
      </w:r>
    </w:p>
    <w:p>
      <w:pPr>
        <w:jc w:val="center"/>
        <w:rPr>
          <w:rFonts w:hint="eastAsia" w:ascii="宋体" w:hAnsi="宋体"/>
          <w:b/>
          <w:bCs/>
          <w:sz w:val="36"/>
          <w:szCs w:val="36"/>
          <w:lang w:eastAsia="zh-CN"/>
        </w:rPr>
      </w:pPr>
      <w:r>
        <w:rPr>
          <w:rStyle w:val="5"/>
          <w:rFonts w:hint="eastAsia" w:ascii="宋体" w:hAnsi="宋体"/>
          <w:sz w:val="36"/>
          <w:szCs w:val="36"/>
        </w:rPr>
        <w:t>宁波市</w:t>
      </w:r>
      <w:r>
        <w:rPr>
          <w:rFonts w:hint="eastAsia" w:ascii="宋体" w:hAnsi="宋体"/>
          <w:b/>
          <w:bCs/>
          <w:sz w:val="36"/>
          <w:szCs w:val="36"/>
        </w:rPr>
        <w:t>卫生健康委</w:t>
      </w:r>
      <w:r>
        <w:rPr>
          <w:rFonts w:hint="eastAsia" w:ascii="宋体" w:hAnsi="宋体"/>
          <w:b/>
          <w:bCs/>
          <w:sz w:val="36"/>
          <w:szCs w:val="36"/>
          <w:lang w:eastAsia="zh-CN"/>
        </w:rPr>
        <w:t>部分</w:t>
      </w:r>
      <w:r>
        <w:rPr>
          <w:rFonts w:hint="eastAsia" w:ascii="宋体" w:hAnsi="宋体"/>
          <w:b/>
          <w:bCs/>
          <w:sz w:val="36"/>
          <w:szCs w:val="36"/>
        </w:rPr>
        <w:t>直属事业单位香港、澳门</w:t>
      </w:r>
      <w:r>
        <w:rPr>
          <w:rFonts w:hint="eastAsia" w:ascii="宋体" w:hAnsi="宋体"/>
          <w:b/>
          <w:bCs/>
          <w:sz w:val="36"/>
          <w:szCs w:val="36"/>
          <w:lang w:eastAsia="zh-CN"/>
        </w:rPr>
        <w:t>高端人才</w:t>
      </w:r>
      <w:r>
        <w:rPr>
          <w:rFonts w:hint="eastAsia" w:ascii="宋体" w:hAnsi="宋体"/>
          <w:b/>
          <w:bCs/>
          <w:sz w:val="36"/>
          <w:szCs w:val="36"/>
        </w:rPr>
        <w:t>招聘</w:t>
      </w:r>
      <w:r>
        <w:rPr>
          <w:rFonts w:hint="eastAsia" w:ascii="宋体" w:hAnsi="宋体"/>
          <w:b/>
          <w:bCs/>
          <w:sz w:val="36"/>
          <w:szCs w:val="36"/>
          <w:lang w:eastAsia="zh-CN"/>
        </w:rPr>
        <w:t>岗位</w:t>
      </w:r>
    </w:p>
    <w:p>
      <w:pPr>
        <w:jc w:val="center"/>
        <w:rPr>
          <w:rStyle w:val="5"/>
          <w:rFonts w:hint="eastAsia" w:ascii="宋体" w:hAnsi="宋体"/>
          <w:sz w:val="24"/>
          <w:szCs w:val="24"/>
          <w:lang w:eastAsia="zh-CN"/>
        </w:rPr>
      </w:pPr>
    </w:p>
    <w:tbl>
      <w:tblPr>
        <w:tblStyle w:val="3"/>
        <w:tblW w:w="952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4"/>
        <w:gridCol w:w="686"/>
        <w:gridCol w:w="449"/>
        <w:gridCol w:w="1800"/>
        <w:gridCol w:w="2880"/>
        <w:gridCol w:w="540"/>
        <w:gridCol w:w="190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  <w:jc w:val="center"/>
        </w:trPr>
        <w:tc>
          <w:tcPr>
            <w:tcW w:w="12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color w:val="auto"/>
                <w:sz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color w:val="auto"/>
                <w:sz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</w:rPr>
              <w:t>单位</w:t>
            </w:r>
          </w:p>
        </w:tc>
        <w:tc>
          <w:tcPr>
            <w:tcW w:w="6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color w:val="auto"/>
                <w:sz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color w:val="auto"/>
                <w:sz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</w:rPr>
              <w:t>岗位</w:t>
            </w:r>
          </w:p>
        </w:tc>
        <w:tc>
          <w:tcPr>
            <w:tcW w:w="4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color w:val="auto"/>
                <w:sz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</w:rPr>
              <w:t>人数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color w:val="auto"/>
                <w:sz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color w:val="auto"/>
                <w:sz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</w:rPr>
              <w:t>职责</w:t>
            </w:r>
          </w:p>
        </w:tc>
        <w:tc>
          <w:tcPr>
            <w:tcW w:w="28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color w:val="auto"/>
                <w:sz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</w:rPr>
              <w:t>招聘专业及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color w:val="auto"/>
                <w:sz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</w:rPr>
              <w:t>学历（学位）要求</w:t>
            </w:r>
          </w:p>
        </w:tc>
        <w:tc>
          <w:tcPr>
            <w:tcW w:w="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color w:val="auto"/>
                <w:sz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color w:val="auto"/>
                <w:sz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</w:rPr>
              <w:t>范围</w:t>
            </w:r>
          </w:p>
        </w:tc>
        <w:tc>
          <w:tcPr>
            <w:tcW w:w="19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color w:val="auto"/>
                <w:sz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</w:rPr>
              <w:t>其他资格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color w:val="auto"/>
                <w:sz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</w:rPr>
              <w:t>条件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1" w:hRule="atLeast"/>
          <w:jc w:val="center"/>
        </w:trPr>
        <w:tc>
          <w:tcPr>
            <w:tcW w:w="126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宁波市医疗中心李惠利医院（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名）</w:t>
            </w:r>
          </w:p>
        </w:tc>
        <w:tc>
          <w:tcPr>
            <w:tcW w:w="6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临床</w:t>
            </w:r>
          </w:p>
        </w:tc>
        <w:tc>
          <w:tcPr>
            <w:tcW w:w="4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各科日常诊断、治疗、教学、科研等工作</w:t>
            </w:r>
          </w:p>
        </w:tc>
        <w:tc>
          <w:tcPr>
            <w:tcW w:w="2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普通外科学（肝胆胰外科方向）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、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心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胸外科学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心脏大血管外科方向）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、耳鼻咽喉头颈外科学等专业；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研究生学历且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博士</w:t>
            </w:r>
            <w:r>
              <w:rPr>
                <w:rFonts w:hint="eastAsia"/>
                <w:sz w:val="20"/>
                <w:szCs w:val="20"/>
              </w:rPr>
              <w:t>学位</w:t>
            </w:r>
          </w:p>
        </w:tc>
        <w:tc>
          <w:tcPr>
            <w:tcW w:w="54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color w:val="auto"/>
                <w:sz w:val="20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20"/>
                <w:lang w:eastAsia="zh-CN"/>
              </w:rPr>
              <w:t>全国范围</w:t>
            </w:r>
          </w:p>
        </w:tc>
        <w:tc>
          <w:tcPr>
            <w:tcW w:w="190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eastAsia" w:ascii="宋体" w:hAnsi="宋体" w:cs="宋体"/>
                <w:bCs/>
                <w:color w:val="auto"/>
                <w:sz w:val="20"/>
              </w:rPr>
            </w:pPr>
            <w:r>
              <w:rPr>
                <w:rFonts w:hint="eastAsia" w:ascii="宋体" w:hAnsi="宋体" w:cs="宋体"/>
                <w:bCs/>
                <w:color w:val="auto"/>
                <w:sz w:val="20"/>
              </w:rPr>
              <w:t>符合下列条件之一：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eastAsia" w:ascii="宋体" w:hAnsi="宋体" w:cs="宋体"/>
                <w:bCs/>
                <w:color w:val="auto"/>
                <w:sz w:val="20"/>
              </w:rPr>
            </w:pPr>
            <w:r>
              <w:rPr>
                <w:rFonts w:hint="eastAsia" w:ascii="宋体" w:hAnsi="宋体" w:cs="宋体"/>
                <w:bCs/>
                <w:color w:val="auto"/>
                <w:sz w:val="20"/>
              </w:rPr>
              <w:t>1、202</w:t>
            </w:r>
            <w:r>
              <w:rPr>
                <w:rFonts w:hint="eastAsia" w:ascii="宋体" w:hAnsi="宋体" w:cs="宋体"/>
                <w:bCs/>
                <w:color w:val="auto"/>
                <w:sz w:val="20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bCs/>
                <w:color w:val="auto"/>
                <w:sz w:val="20"/>
              </w:rPr>
              <w:t>年普通高校应届毕业生；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eastAsia" w:ascii="宋体" w:hAnsi="宋体" w:cs="宋体"/>
                <w:bCs/>
                <w:color w:val="auto"/>
                <w:sz w:val="20"/>
              </w:rPr>
            </w:pPr>
            <w:r>
              <w:rPr>
                <w:rFonts w:hint="eastAsia" w:ascii="宋体" w:hAnsi="宋体" w:cs="宋体"/>
                <w:bCs/>
                <w:color w:val="auto"/>
                <w:sz w:val="20"/>
              </w:rPr>
              <w:t>2、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已取得学历学位的历届生，年龄35周岁以下（其中对博士研究生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拥有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  <w:t>正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高专业技术任职资格的年龄可放宽至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50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周岁以下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 w:hRule="atLeast"/>
          <w:jc w:val="center"/>
        </w:trPr>
        <w:tc>
          <w:tcPr>
            <w:tcW w:w="12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科研</w:t>
            </w:r>
          </w:p>
        </w:tc>
        <w:tc>
          <w:tcPr>
            <w:tcW w:w="4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承担医院日常科研等工作</w:t>
            </w:r>
          </w:p>
        </w:tc>
        <w:tc>
          <w:tcPr>
            <w:tcW w:w="2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临床医学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（学术型）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、基础医学、生物化学与分子生物学、肿瘤生物信息学等专业；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研究生学历且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博士</w:t>
            </w:r>
            <w:r>
              <w:rPr>
                <w:rFonts w:hint="eastAsia"/>
                <w:sz w:val="20"/>
                <w:szCs w:val="20"/>
              </w:rPr>
              <w:t>学位</w:t>
            </w:r>
          </w:p>
        </w:tc>
        <w:tc>
          <w:tcPr>
            <w:tcW w:w="54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bCs/>
                <w:color w:val="auto"/>
                <w:sz w:val="20"/>
              </w:rPr>
            </w:pPr>
          </w:p>
        </w:tc>
        <w:tc>
          <w:tcPr>
            <w:tcW w:w="1909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bCs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7" w:hRule="atLeast"/>
          <w:jc w:val="center"/>
        </w:trPr>
        <w:tc>
          <w:tcPr>
            <w:tcW w:w="126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bCs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20"/>
                <w:szCs w:val="20"/>
                <w:lang w:eastAsia="zh-CN"/>
              </w:rPr>
              <w:t>宁波大学附属第一医院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bCs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cs="宋体"/>
                <w:bCs/>
                <w:color w:val="auto"/>
                <w:sz w:val="20"/>
                <w:szCs w:val="20"/>
                <w:lang w:val="en-US" w:eastAsia="zh-CN"/>
              </w:rPr>
              <w:t>75名</w:t>
            </w:r>
            <w:r>
              <w:rPr>
                <w:rFonts w:hint="eastAsia" w:ascii="宋体" w:hAnsi="宋体" w:cs="宋体"/>
                <w:bCs/>
                <w:color w:val="auto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6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临床</w:t>
            </w:r>
          </w:p>
        </w:tc>
        <w:tc>
          <w:tcPr>
            <w:tcW w:w="4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57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各科日常诊断、治疗、教学、科研等工作</w:t>
            </w:r>
          </w:p>
        </w:tc>
        <w:tc>
          <w:tcPr>
            <w:tcW w:w="2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ascii="宋体" w:hAnsi="宋体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神经病学、血液病学、心血管内科学、肾脏病学、风湿免疫学、呼吸病学、感染病学、消化内科学、重症医学、急诊医学、骨外科学、泌尿外科学、普外科学、心胸外科学、血管外科学、口腔医学、耳鼻咽喉头颈外科学、妇产科学、生殖医学、儿科学、皮肤病与性病学、创伤外科学、老年病学、肿瘤放化疗学、全科医学、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精神病与精神卫生学、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麻醉学专业；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eastAsia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研究生学历且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博士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54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bCs/>
                <w:color w:val="auto"/>
                <w:sz w:val="20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20"/>
                <w:lang w:eastAsia="zh-CN"/>
              </w:rPr>
              <w:t>全国范围</w:t>
            </w:r>
          </w:p>
        </w:tc>
        <w:tc>
          <w:tcPr>
            <w:tcW w:w="190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eastAsia" w:ascii="宋体" w:hAnsi="宋体" w:cs="宋体"/>
                <w:bCs/>
                <w:color w:val="auto"/>
                <w:sz w:val="20"/>
              </w:rPr>
            </w:pPr>
            <w:r>
              <w:rPr>
                <w:rFonts w:hint="eastAsia" w:ascii="宋体" w:hAnsi="宋体" w:cs="宋体"/>
                <w:bCs/>
                <w:color w:val="auto"/>
                <w:sz w:val="20"/>
              </w:rPr>
              <w:t>符合下列条件之一：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eastAsia" w:ascii="宋体" w:hAnsi="宋体" w:cs="宋体"/>
                <w:bCs/>
                <w:color w:val="auto"/>
                <w:sz w:val="20"/>
              </w:rPr>
            </w:pPr>
            <w:r>
              <w:rPr>
                <w:rFonts w:hint="eastAsia" w:ascii="宋体" w:hAnsi="宋体" w:cs="宋体"/>
                <w:bCs/>
                <w:color w:val="auto"/>
                <w:sz w:val="20"/>
              </w:rPr>
              <w:t>1、202</w:t>
            </w:r>
            <w:r>
              <w:rPr>
                <w:rFonts w:hint="eastAsia" w:ascii="宋体" w:hAnsi="宋体" w:cs="宋体"/>
                <w:bCs/>
                <w:color w:val="auto"/>
                <w:sz w:val="20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bCs/>
                <w:color w:val="auto"/>
                <w:sz w:val="20"/>
              </w:rPr>
              <w:t>年普通高校应届毕业生；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eastAsia" w:ascii="宋体" w:hAnsi="宋体" w:cs="宋体"/>
                <w:bCs/>
                <w:color w:val="auto"/>
                <w:sz w:val="20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20"/>
              </w:rPr>
              <w:t>2、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已取得学历学位的历届生，年龄35周岁以下（其中对博士研究生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拥有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  <w:t>正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高专业技术任职资格的年龄可放宽至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50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周岁以下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  <w:jc w:val="center"/>
        </w:trPr>
        <w:tc>
          <w:tcPr>
            <w:tcW w:w="1264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宋体" w:hAnsi="宋体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检验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输血</w:t>
            </w:r>
          </w:p>
        </w:tc>
        <w:tc>
          <w:tcPr>
            <w:tcW w:w="4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各科日常诊断、教学、科研等工作</w:t>
            </w:r>
          </w:p>
        </w:tc>
        <w:tc>
          <w:tcPr>
            <w:tcW w:w="2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ascii="宋体" w:hAnsi="宋体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临床检验诊断学专业；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eastAsia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研究生学历且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博士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540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bCs/>
                <w:color w:val="auto"/>
                <w:sz w:val="20"/>
                <w:lang w:eastAsia="zh-CN"/>
              </w:rPr>
            </w:pPr>
          </w:p>
        </w:tc>
        <w:tc>
          <w:tcPr>
            <w:tcW w:w="1909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bCs/>
                <w:color w:val="auto"/>
                <w:sz w:val="20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6" w:hRule="atLeast"/>
          <w:jc w:val="center"/>
        </w:trPr>
        <w:tc>
          <w:tcPr>
            <w:tcW w:w="1264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宋体" w:hAnsi="宋体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影像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宋体" w:hAnsi="宋体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介入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超声</w:t>
            </w:r>
          </w:p>
        </w:tc>
        <w:tc>
          <w:tcPr>
            <w:tcW w:w="4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各科日常诊断、教学、科研等工作</w:t>
            </w:r>
          </w:p>
        </w:tc>
        <w:tc>
          <w:tcPr>
            <w:tcW w:w="2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ascii="宋体" w:hAnsi="宋体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影像医学与核医学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、超声医学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专业；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eastAsia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研究生学历且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博士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学位</w:t>
            </w:r>
            <w:bookmarkStart w:id="0" w:name="_GoBack"/>
            <w:bookmarkEnd w:id="0"/>
          </w:p>
        </w:tc>
        <w:tc>
          <w:tcPr>
            <w:tcW w:w="540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bCs/>
                <w:color w:val="auto"/>
                <w:sz w:val="20"/>
                <w:lang w:eastAsia="zh-CN"/>
              </w:rPr>
            </w:pPr>
          </w:p>
        </w:tc>
        <w:tc>
          <w:tcPr>
            <w:tcW w:w="1909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bCs/>
                <w:color w:val="auto"/>
                <w:sz w:val="20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atLeast"/>
          <w:jc w:val="center"/>
        </w:trPr>
        <w:tc>
          <w:tcPr>
            <w:tcW w:w="1264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药学</w:t>
            </w:r>
          </w:p>
        </w:tc>
        <w:tc>
          <w:tcPr>
            <w:tcW w:w="4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承担医院药学相关工作</w:t>
            </w:r>
          </w:p>
        </w:tc>
        <w:tc>
          <w:tcPr>
            <w:tcW w:w="2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ascii="宋体" w:hAnsi="宋体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药学相关专业；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eastAsia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研究生学历且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博士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540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bCs/>
                <w:color w:val="auto"/>
                <w:sz w:val="20"/>
                <w:lang w:eastAsia="zh-CN"/>
              </w:rPr>
            </w:pPr>
          </w:p>
        </w:tc>
        <w:tc>
          <w:tcPr>
            <w:tcW w:w="1909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bCs/>
                <w:color w:val="auto"/>
                <w:sz w:val="20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5" w:hRule="atLeast"/>
          <w:jc w:val="center"/>
        </w:trPr>
        <w:tc>
          <w:tcPr>
            <w:tcW w:w="1264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科研</w:t>
            </w:r>
          </w:p>
        </w:tc>
        <w:tc>
          <w:tcPr>
            <w:tcW w:w="4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承担医院日常科研等工作</w:t>
            </w:r>
          </w:p>
        </w:tc>
        <w:tc>
          <w:tcPr>
            <w:tcW w:w="2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ascii="宋体" w:hAnsi="宋体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临床医学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（学术型）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、免疫学、干细胞与再生医学、神经生物学细胞生物学、生物化学与分子生物学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等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专业；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eastAsia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研究生学历且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博士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540" w:type="dxa"/>
            <w:vMerge w:val="continue"/>
            <w:tcBorders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bCs/>
                <w:color w:val="auto"/>
                <w:sz w:val="20"/>
              </w:rPr>
            </w:pPr>
          </w:p>
        </w:tc>
        <w:tc>
          <w:tcPr>
            <w:tcW w:w="1909" w:type="dxa"/>
            <w:vMerge w:val="continue"/>
            <w:tcBorders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bCs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  <w:jc w:val="center"/>
        </w:trPr>
        <w:tc>
          <w:tcPr>
            <w:tcW w:w="1264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护理</w:t>
            </w:r>
          </w:p>
        </w:tc>
        <w:tc>
          <w:tcPr>
            <w:tcW w:w="4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承担医院日常护理、管理工作</w:t>
            </w:r>
          </w:p>
        </w:tc>
        <w:tc>
          <w:tcPr>
            <w:tcW w:w="2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ascii="宋体" w:hAnsi="宋体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护理学专业；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eastAsia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研究生学历且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博士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540" w:type="dxa"/>
            <w:vMerge w:val="continue"/>
            <w:tcBorders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bCs/>
                <w:color w:val="auto"/>
                <w:sz w:val="20"/>
              </w:rPr>
            </w:pPr>
          </w:p>
        </w:tc>
        <w:tc>
          <w:tcPr>
            <w:tcW w:w="1909" w:type="dxa"/>
            <w:vMerge w:val="continue"/>
            <w:tcBorders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bCs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atLeast"/>
          <w:jc w:val="center"/>
        </w:trPr>
        <w:tc>
          <w:tcPr>
            <w:tcW w:w="1264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信息</w:t>
            </w:r>
          </w:p>
        </w:tc>
        <w:tc>
          <w:tcPr>
            <w:tcW w:w="4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承担医院信息管理工作</w:t>
            </w:r>
          </w:p>
        </w:tc>
        <w:tc>
          <w:tcPr>
            <w:tcW w:w="2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ascii="宋体" w:hAnsi="宋体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计算机等专业；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eastAsia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研究生学历且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博士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540" w:type="dxa"/>
            <w:vMerge w:val="continue"/>
            <w:tcBorders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bCs/>
                <w:color w:val="auto"/>
                <w:sz w:val="20"/>
              </w:rPr>
            </w:pPr>
          </w:p>
        </w:tc>
        <w:tc>
          <w:tcPr>
            <w:tcW w:w="1909" w:type="dxa"/>
            <w:vMerge w:val="continue"/>
            <w:tcBorders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bCs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6" w:hRule="atLeast"/>
          <w:jc w:val="center"/>
        </w:trPr>
        <w:tc>
          <w:tcPr>
            <w:tcW w:w="1264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公共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卫生</w:t>
            </w:r>
          </w:p>
        </w:tc>
        <w:tc>
          <w:tcPr>
            <w:tcW w:w="449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  <w:t>5</w:t>
            </w:r>
          </w:p>
        </w:tc>
        <w:tc>
          <w:tcPr>
            <w:tcW w:w="1800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承担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公共卫生临床中心</w:t>
            </w: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公共卫生工作</w:t>
            </w:r>
          </w:p>
        </w:tc>
        <w:tc>
          <w:tcPr>
            <w:tcW w:w="2880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公共卫生</w:t>
            </w:r>
            <w:r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  <w:t>相关</w:t>
            </w: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专业；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研究生学历且博士学位</w:t>
            </w:r>
          </w:p>
        </w:tc>
        <w:tc>
          <w:tcPr>
            <w:tcW w:w="540" w:type="dxa"/>
            <w:vMerge w:val="continue"/>
            <w:tcBorders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bCs/>
                <w:color w:val="auto"/>
                <w:sz w:val="20"/>
              </w:rPr>
            </w:pPr>
          </w:p>
        </w:tc>
        <w:tc>
          <w:tcPr>
            <w:tcW w:w="1909" w:type="dxa"/>
            <w:vMerge w:val="continue"/>
            <w:tcBorders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bCs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0" w:hRule="atLeast"/>
          <w:jc w:val="center"/>
        </w:trPr>
        <w:tc>
          <w:tcPr>
            <w:tcW w:w="126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bCs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20"/>
                <w:szCs w:val="20"/>
                <w:lang w:eastAsia="zh-CN"/>
              </w:rPr>
              <w:t>宁波市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bCs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20"/>
                <w:szCs w:val="20"/>
                <w:lang w:eastAsia="zh-CN"/>
              </w:rPr>
              <w:t>第二医院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bCs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cs="宋体"/>
                <w:bCs/>
                <w:color w:val="auto"/>
                <w:sz w:val="20"/>
                <w:szCs w:val="20"/>
                <w:lang w:val="en-US" w:eastAsia="zh-CN"/>
              </w:rPr>
              <w:t>13</w:t>
            </w:r>
            <w:r>
              <w:rPr>
                <w:rFonts w:hint="eastAsia" w:ascii="宋体" w:hAnsi="宋体" w:cs="宋体"/>
                <w:bCs/>
                <w:color w:val="auto"/>
                <w:sz w:val="20"/>
                <w:szCs w:val="20"/>
                <w:lang w:eastAsia="zh-CN"/>
              </w:rPr>
              <w:t>名）</w:t>
            </w:r>
          </w:p>
        </w:tc>
        <w:tc>
          <w:tcPr>
            <w:tcW w:w="68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sz w:val="20"/>
              </w:rPr>
              <w:t>临床</w:t>
            </w:r>
          </w:p>
        </w:tc>
        <w:tc>
          <w:tcPr>
            <w:tcW w:w="44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1</w:t>
            </w:r>
            <w:r>
              <w:rPr>
                <w:rFonts w:ascii="宋体" w:hAnsi="宋体" w:cs="宋体"/>
                <w:kern w:val="0"/>
                <w:sz w:val="20"/>
                <w:lang w:bidi="ar"/>
              </w:rPr>
              <w:t>0</w:t>
            </w:r>
          </w:p>
        </w:tc>
        <w:tc>
          <w:tcPr>
            <w:tcW w:w="1800" w:type="dxa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各科日常诊断、治疗、教学、科研等工作</w:t>
            </w:r>
          </w:p>
        </w:tc>
        <w:tc>
          <w:tcPr>
            <w:tcW w:w="2880" w:type="dxa"/>
            <w:vAlign w:val="center"/>
          </w:tcPr>
          <w:p>
            <w:pPr>
              <w:spacing w:line="240" w:lineRule="exac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神经病学、消化病学、呼吸病学、骨科学、普外科学、胸外科学、神经外科学、传染病学（肝病方向）、放射医学等临床专业；</w:t>
            </w:r>
          </w:p>
          <w:p>
            <w:pPr>
              <w:spacing w:line="240" w:lineRule="exact"/>
              <w:rPr>
                <w:rFonts w:hint="eastAsia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研究生学历且博士学位</w:t>
            </w:r>
          </w:p>
        </w:tc>
        <w:tc>
          <w:tcPr>
            <w:tcW w:w="54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bCs/>
                <w:color w:val="auto"/>
                <w:sz w:val="20"/>
              </w:rPr>
            </w:pPr>
            <w:r>
              <w:rPr>
                <w:rFonts w:hint="eastAsia" w:ascii="宋体" w:hAnsi="宋体" w:cs="宋体"/>
                <w:bCs/>
                <w:color w:val="auto"/>
                <w:sz w:val="20"/>
                <w:lang w:eastAsia="zh-CN"/>
              </w:rPr>
              <w:t>全国范围</w:t>
            </w:r>
          </w:p>
        </w:tc>
        <w:tc>
          <w:tcPr>
            <w:tcW w:w="190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eastAsia" w:ascii="宋体" w:hAnsi="宋体" w:cs="宋体"/>
                <w:bCs/>
                <w:color w:val="auto"/>
                <w:sz w:val="20"/>
              </w:rPr>
            </w:pPr>
            <w:r>
              <w:rPr>
                <w:rFonts w:hint="eastAsia" w:ascii="宋体" w:hAnsi="宋体" w:cs="宋体"/>
                <w:bCs/>
                <w:color w:val="auto"/>
                <w:sz w:val="20"/>
              </w:rPr>
              <w:t>符合下列条件之一：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eastAsia" w:ascii="宋体" w:hAnsi="宋体" w:cs="宋体"/>
                <w:bCs/>
                <w:color w:val="auto"/>
                <w:sz w:val="20"/>
              </w:rPr>
            </w:pPr>
            <w:r>
              <w:rPr>
                <w:rFonts w:hint="eastAsia" w:ascii="宋体" w:hAnsi="宋体" w:cs="宋体"/>
                <w:bCs/>
                <w:color w:val="auto"/>
                <w:sz w:val="20"/>
              </w:rPr>
              <w:t>1、202</w:t>
            </w:r>
            <w:r>
              <w:rPr>
                <w:rFonts w:hint="eastAsia" w:ascii="宋体" w:hAnsi="宋体" w:cs="宋体"/>
                <w:bCs/>
                <w:color w:val="auto"/>
                <w:sz w:val="20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bCs/>
                <w:color w:val="auto"/>
                <w:sz w:val="20"/>
              </w:rPr>
              <w:t>年普通高校应届毕业生；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eastAsia" w:ascii="宋体" w:hAnsi="宋体" w:cs="宋体"/>
                <w:bCs/>
                <w:color w:val="auto"/>
                <w:sz w:val="20"/>
              </w:rPr>
            </w:pPr>
            <w:r>
              <w:rPr>
                <w:rFonts w:hint="eastAsia" w:ascii="宋体" w:hAnsi="宋体" w:cs="宋体"/>
                <w:bCs/>
                <w:color w:val="auto"/>
                <w:sz w:val="20"/>
              </w:rPr>
              <w:t>2、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已取得学历学位的历届生，年龄35周岁以下（其中对博士研究生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拥有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  <w:t>正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高专业技术任职资格的年龄可放宽至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50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周岁以下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0" w:hRule="atLeast"/>
          <w:jc w:val="center"/>
        </w:trPr>
        <w:tc>
          <w:tcPr>
            <w:tcW w:w="1264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>
            <w:pPr>
              <w:pStyle w:val="2"/>
              <w:spacing w:before="0" w:beforeAutospacing="0" w:after="0" w:afterAutospacing="0"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科研</w:t>
            </w:r>
          </w:p>
        </w:tc>
        <w:tc>
          <w:tcPr>
            <w:tcW w:w="449" w:type="dxa"/>
            <w:vAlign w:val="center"/>
          </w:tcPr>
          <w:p>
            <w:pPr>
              <w:pStyle w:val="2"/>
              <w:spacing w:before="0" w:beforeAutospacing="0" w:after="0" w:afterAutospacing="0"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00" w:type="dxa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</w:rPr>
              <w:t>承担医院日常科研等工作</w:t>
            </w:r>
          </w:p>
        </w:tc>
        <w:tc>
          <w:tcPr>
            <w:tcW w:w="2880" w:type="dxa"/>
            <w:vAlign w:val="center"/>
          </w:tcPr>
          <w:p>
            <w:pPr>
              <w:spacing w:line="240" w:lineRule="exac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免疫学、微生态学、分子生物学、组织工程学、AI人工智能、医学大数据等相关等专业；</w:t>
            </w:r>
          </w:p>
          <w:p>
            <w:pPr>
              <w:widowControl/>
              <w:spacing w:line="240" w:lineRule="exact"/>
              <w:rPr>
                <w:rFonts w:hint="eastAsia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研究生学历且博士学位</w:t>
            </w:r>
          </w:p>
        </w:tc>
        <w:tc>
          <w:tcPr>
            <w:tcW w:w="540" w:type="dxa"/>
            <w:vMerge w:val="continue"/>
            <w:tcBorders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bCs/>
                <w:color w:val="auto"/>
                <w:sz w:val="20"/>
              </w:rPr>
            </w:pPr>
          </w:p>
        </w:tc>
        <w:tc>
          <w:tcPr>
            <w:tcW w:w="1909" w:type="dxa"/>
            <w:vMerge w:val="continue"/>
            <w:tcBorders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bCs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5" w:hRule="atLeast"/>
          <w:jc w:val="center"/>
        </w:trPr>
        <w:tc>
          <w:tcPr>
            <w:tcW w:w="1264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宁波市中医院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名）</w:t>
            </w:r>
          </w:p>
        </w:tc>
        <w:tc>
          <w:tcPr>
            <w:tcW w:w="686" w:type="dxa"/>
            <w:vAlign w:val="center"/>
          </w:tcPr>
          <w:p>
            <w:pPr>
              <w:pStyle w:val="2"/>
              <w:spacing w:before="0" w:beforeAutospacing="0" w:after="0" w:afterAutospacing="0" w:line="24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</w:rPr>
              <w:t>临床</w:t>
            </w:r>
          </w:p>
        </w:tc>
        <w:tc>
          <w:tcPr>
            <w:tcW w:w="449" w:type="dxa"/>
            <w:vAlign w:val="center"/>
          </w:tcPr>
          <w:p>
            <w:pPr>
              <w:pStyle w:val="2"/>
              <w:spacing w:before="0" w:beforeAutospacing="0" w:after="0" w:afterAutospacing="0" w:line="24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800" w:type="dxa"/>
            <w:vAlign w:val="center"/>
          </w:tcPr>
          <w:p>
            <w:pPr>
              <w:pStyle w:val="2"/>
              <w:spacing w:before="0" w:beforeAutospacing="0" w:after="0" w:afterAutospacing="0" w:line="240" w:lineRule="exac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</w:rPr>
              <w:t>承担日常诊断、教学、科研等工作</w:t>
            </w:r>
          </w:p>
        </w:tc>
        <w:tc>
          <w:tcPr>
            <w:tcW w:w="2880" w:type="dxa"/>
            <w:vAlign w:val="center"/>
          </w:tcPr>
          <w:p>
            <w:pPr>
              <w:pStyle w:val="2"/>
              <w:spacing w:before="0" w:beforeAutospacing="0" w:after="0" w:afterAutospacing="0" w:line="240" w:lineRule="exact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sz w:val="20"/>
                <w:szCs w:val="20"/>
              </w:rPr>
              <w:t>中医内科学（肿瘤、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风湿免疫</w:t>
            </w:r>
            <w:r>
              <w:rPr>
                <w:sz w:val="20"/>
                <w:szCs w:val="20"/>
              </w:rPr>
              <w:t>、呼吸等）、内科学（呼吸、神经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内科</w:t>
            </w:r>
            <w:r>
              <w:rPr>
                <w:rFonts w:hint="eastAsia"/>
                <w:sz w:val="20"/>
                <w:szCs w:val="20"/>
                <w:lang w:eastAsia="zh-CN"/>
              </w:rPr>
              <w:t>、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风湿免疫、</w:t>
            </w:r>
            <w:r>
              <w:rPr>
                <w:rFonts w:hint="eastAsia"/>
                <w:sz w:val="20"/>
                <w:szCs w:val="20"/>
                <w:lang w:eastAsia="zh-CN"/>
              </w:rPr>
              <w:t>、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妇产科学、中医妇科</w:t>
            </w:r>
            <w:r>
              <w:rPr>
                <w:sz w:val="20"/>
                <w:szCs w:val="20"/>
              </w:rPr>
              <w:t>、中西医结合临床、中医骨伤学、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外科学、眼科学、中医外科（男科）、中医眼科学、皮肤疾病相关专业；</w:t>
            </w:r>
          </w:p>
          <w:p>
            <w:pPr>
              <w:pStyle w:val="2"/>
              <w:spacing w:before="0" w:beforeAutospacing="0" w:after="0" w:afterAutospacing="0" w:line="240" w:lineRule="exac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</w:rPr>
              <w:t>研究生学历且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博士</w:t>
            </w:r>
            <w:r>
              <w:rPr>
                <w:rFonts w:hint="eastAsia"/>
                <w:sz w:val="20"/>
                <w:szCs w:val="20"/>
              </w:rPr>
              <w:t>学位</w:t>
            </w:r>
          </w:p>
        </w:tc>
        <w:tc>
          <w:tcPr>
            <w:tcW w:w="540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全国范围</w:t>
            </w:r>
          </w:p>
        </w:tc>
        <w:tc>
          <w:tcPr>
            <w:tcW w:w="190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eastAsia" w:ascii="宋体" w:hAnsi="宋体" w:cs="宋体"/>
                <w:bCs/>
                <w:color w:val="auto"/>
                <w:sz w:val="20"/>
              </w:rPr>
            </w:pPr>
            <w:r>
              <w:rPr>
                <w:rFonts w:hint="eastAsia" w:ascii="宋体" w:hAnsi="宋体" w:cs="宋体"/>
                <w:bCs/>
                <w:color w:val="auto"/>
                <w:sz w:val="20"/>
              </w:rPr>
              <w:t>符合下列条件之一：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eastAsia" w:ascii="宋体" w:hAnsi="宋体" w:cs="宋体"/>
                <w:bCs/>
                <w:color w:val="auto"/>
                <w:sz w:val="20"/>
              </w:rPr>
            </w:pPr>
            <w:r>
              <w:rPr>
                <w:rFonts w:hint="eastAsia" w:ascii="宋体" w:hAnsi="宋体" w:cs="宋体"/>
                <w:bCs/>
                <w:color w:val="auto"/>
                <w:sz w:val="20"/>
              </w:rPr>
              <w:t>1、202</w:t>
            </w:r>
            <w:r>
              <w:rPr>
                <w:rFonts w:hint="eastAsia" w:ascii="宋体" w:hAnsi="宋体" w:cs="宋体"/>
                <w:bCs/>
                <w:color w:val="auto"/>
                <w:sz w:val="20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bCs/>
                <w:color w:val="auto"/>
                <w:sz w:val="20"/>
              </w:rPr>
              <w:t>年普通高校应届毕业生；</w:t>
            </w:r>
          </w:p>
          <w:p>
            <w:pPr>
              <w:widowControl/>
              <w:numPr>
                <w:numId w:val="0"/>
              </w:numPr>
              <w:spacing w:line="240" w:lineRule="exact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color w:val="auto"/>
                <w:sz w:val="20"/>
              </w:rPr>
              <w:t>2、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已取得学历学位的历届生，年龄35周岁以下（其中对博士研究生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拥有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  <w:t>正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高专业技术任职资格的年龄可放宽至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50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周岁以下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6" w:hRule="atLeast"/>
          <w:jc w:val="center"/>
        </w:trPr>
        <w:tc>
          <w:tcPr>
            <w:tcW w:w="1264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>
            <w:pPr>
              <w:pStyle w:val="2"/>
              <w:spacing w:before="0" w:beforeAutospacing="0" w:after="0" w:afterAutospacing="0" w:line="24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 w:bidi="ar-SA"/>
              </w:rPr>
              <w:t>药学部</w:t>
            </w:r>
          </w:p>
        </w:tc>
        <w:tc>
          <w:tcPr>
            <w:tcW w:w="449" w:type="dxa"/>
            <w:vAlign w:val="center"/>
          </w:tcPr>
          <w:p>
            <w:pPr>
              <w:pStyle w:val="2"/>
              <w:spacing w:before="0" w:beforeAutospacing="0" w:after="0" w:afterAutospacing="0" w:line="24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800" w:type="dxa"/>
            <w:vAlign w:val="center"/>
          </w:tcPr>
          <w:p>
            <w:pPr>
              <w:pStyle w:val="2"/>
              <w:spacing w:before="0" w:beforeAutospacing="0" w:after="0" w:afterAutospacing="0" w:line="240" w:lineRule="exac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</w:rPr>
              <w:t>承担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药学部科研</w:t>
            </w:r>
            <w:r>
              <w:rPr>
                <w:rFonts w:hint="eastAsia"/>
                <w:sz w:val="20"/>
                <w:szCs w:val="20"/>
              </w:rPr>
              <w:t>工作</w:t>
            </w:r>
          </w:p>
        </w:tc>
        <w:tc>
          <w:tcPr>
            <w:tcW w:w="2880" w:type="dxa"/>
            <w:vAlign w:val="center"/>
          </w:tcPr>
          <w:p>
            <w:pPr>
              <w:pStyle w:val="2"/>
              <w:spacing w:before="0" w:beforeAutospacing="0" w:after="0" w:afterAutospacing="0" w:line="240" w:lineRule="exact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中药学、药学相关专业；</w:t>
            </w:r>
          </w:p>
          <w:p>
            <w:pPr>
              <w:pStyle w:val="2"/>
              <w:spacing w:before="0" w:beforeAutospacing="0" w:after="0" w:afterAutospacing="0" w:line="240" w:lineRule="exac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</w:rPr>
              <w:t>研究生学历且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博士</w:t>
            </w:r>
            <w:r>
              <w:rPr>
                <w:rFonts w:hint="eastAsia"/>
                <w:sz w:val="20"/>
                <w:szCs w:val="20"/>
              </w:rPr>
              <w:t>学位</w:t>
            </w:r>
          </w:p>
        </w:tc>
        <w:tc>
          <w:tcPr>
            <w:tcW w:w="540" w:type="dxa"/>
            <w:vMerge w:val="continue"/>
            <w:tcBorders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909" w:type="dxa"/>
            <w:vMerge w:val="continue"/>
            <w:tcBorders/>
            <w:vAlign w:val="top"/>
          </w:tcPr>
          <w:p>
            <w:pPr>
              <w:spacing w:line="240" w:lineRule="exac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jc w:val="center"/>
        </w:trPr>
        <w:tc>
          <w:tcPr>
            <w:tcW w:w="1264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>
            <w:pPr>
              <w:pStyle w:val="2"/>
              <w:spacing w:before="0" w:beforeAutospacing="0" w:after="0" w:afterAutospacing="0" w:line="24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</w:rPr>
              <w:t>中医药研究院科研</w:t>
            </w:r>
          </w:p>
        </w:tc>
        <w:tc>
          <w:tcPr>
            <w:tcW w:w="449" w:type="dxa"/>
            <w:vAlign w:val="center"/>
          </w:tcPr>
          <w:p>
            <w:pPr>
              <w:pStyle w:val="2"/>
              <w:spacing w:before="0" w:beforeAutospacing="0" w:after="0" w:afterAutospacing="0" w:line="24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800" w:type="dxa"/>
            <w:vAlign w:val="center"/>
          </w:tcPr>
          <w:p>
            <w:pPr>
              <w:pStyle w:val="2"/>
              <w:spacing w:before="0" w:beforeAutospacing="0" w:after="0" w:afterAutospacing="0" w:line="240" w:lineRule="exac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</w:rPr>
              <w:t>承担中医药科研相关工作</w:t>
            </w:r>
          </w:p>
        </w:tc>
        <w:tc>
          <w:tcPr>
            <w:tcW w:w="2880" w:type="dxa"/>
            <w:vAlign w:val="center"/>
          </w:tcPr>
          <w:p>
            <w:pPr>
              <w:pStyle w:val="2"/>
              <w:spacing w:before="0" w:beforeAutospacing="0" w:after="0" w:afterAutospacing="0"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药学、药理学</w:t>
            </w:r>
            <w:r>
              <w:rPr>
                <w:rFonts w:hint="eastAsia"/>
                <w:sz w:val="20"/>
                <w:szCs w:val="20"/>
              </w:rPr>
              <w:t>，中药学，中药药理，分子生物学</w:t>
            </w:r>
            <w:r>
              <w:rPr>
                <w:rFonts w:hint="eastAsia"/>
                <w:sz w:val="20"/>
                <w:szCs w:val="20"/>
                <w:lang w:eastAsia="zh-CN"/>
              </w:rPr>
              <w:t>、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中西医结合基础</w:t>
            </w:r>
            <w:r>
              <w:rPr>
                <w:rFonts w:hint="eastAsia"/>
                <w:sz w:val="20"/>
                <w:szCs w:val="20"/>
              </w:rPr>
              <w:t>等相关专业；</w:t>
            </w:r>
          </w:p>
          <w:p>
            <w:pPr>
              <w:pStyle w:val="2"/>
              <w:spacing w:before="0" w:beforeAutospacing="0" w:after="0" w:afterAutospacing="0" w:line="240" w:lineRule="exac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</w:rPr>
              <w:t>研究生学历且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博士</w:t>
            </w:r>
            <w:r>
              <w:rPr>
                <w:rFonts w:hint="eastAsia"/>
                <w:sz w:val="20"/>
                <w:szCs w:val="20"/>
              </w:rPr>
              <w:t>学位</w:t>
            </w:r>
          </w:p>
        </w:tc>
        <w:tc>
          <w:tcPr>
            <w:tcW w:w="540" w:type="dxa"/>
            <w:vMerge w:val="continue"/>
            <w:tcBorders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909" w:type="dxa"/>
            <w:vMerge w:val="continue"/>
            <w:tcBorders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</w:tbl>
    <w:p/>
    <w:sectPr>
      <w:pgSz w:w="11906" w:h="16838"/>
      <w:pgMar w:top="1213" w:right="1800" w:bottom="1213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228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DEE7BE"/>
    <w:rsid w:val="3F7D559D"/>
    <w:rsid w:val="4F59D557"/>
    <w:rsid w:val="6CA3AF13"/>
    <w:rsid w:val="7CF7C7D8"/>
    <w:rsid w:val="7FDE97B6"/>
    <w:rsid w:val="7FDEE7BE"/>
    <w:rsid w:val="E6F740A0"/>
    <w:rsid w:val="FDD1ECAD"/>
    <w:rsid w:val="FFF3C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5">
    <w:name w:val="detail_title1"/>
    <w:basedOn w:val="4"/>
    <w:qFormat/>
    <w:uiPriority w:val="0"/>
    <w:rPr>
      <w:b/>
      <w:bCs/>
      <w:sz w:val="27"/>
      <w:szCs w:val="27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2024-02-26T14:53:00Z</dcterms:created>
  <dc:creator>user</dc:creator>
  <cp:lastModifiedBy>user</cp:lastModifiedBy>
  <dcterms:modified xsi:type="dcterms:W3CDTF">2024-02-26T16:35:44Z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