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小标宋_GBK" w:cs="Times New Roman"/>
          <w:sz w:val="32"/>
          <w:szCs w:val="40"/>
          <w:lang w:val="en-US" w:eastAsia="zh-CN"/>
        </w:rPr>
      </w:pPr>
      <w:r>
        <w:rPr>
          <w:rFonts w:hint="eastAsia" w:ascii="Times New Roman" w:hAnsi="Times New Roman" w:eastAsia="方正小标宋_GBK" w:cs="Times New Roman"/>
          <w:sz w:val="32"/>
          <w:szCs w:val="40"/>
          <w:lang w:val="en-US" w:eastAsia="zh-CN"/>
        </w:rPr>
        <w:t>附件4</w:t>
      </w:r>
    </w:p>
    <w:p>
      <w:pPr>
        <w:jc w:val="center"/>
        <w:rPr>
          <w:rFonts w:hint="default" w:ascii="Times New Roman" w:hAnsi="Times New Roman" w:eastAsia="方正小标宋_GBK" w:cs="Times New Roman"/>
          <w:sz w:val="44"/>
          <w:szCs w:val="52"/>
          <w:lang w:val="en-US" w:eastAsia="zh-CN"/>
        </w:rPr>
      </w:pPr>
      <w:bookmarkStart w:id="0" w:name="_GoBack"/>
      <w:bookmarkEnd w:id="0"/>
      <w:r>
        <w:rPr>
          <w:rFonts w:hint="default" w:ascii="Times New Roman" w:hAnsi="Times New Roman" w:eastAsia="方正小标宋_GBK" w:cs="Times New Roman"/>
          <w:sz w:val="44"/>
          <w:szCs w:val="52"/>
          <w:lang w:val="en-US" w:eastAsia="zh-CN"/>
        </w:rPr>
        <w:t>攀枝花学简介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攀枝花学院是教育部布点在川西南、滇西北唯一一所以工为主的综合性普通本科院校，是全国首批100所国家级创新创业学院之一。学校坐落于著名的钒钛之都、阳光花城、康养胜地、全国唯一以花命名的城市—攀枝花市市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历史沿革：学校由方毅、宋任穷等老一辈革命家倡导，始建于1983年，党和国家领导人方毅、费孝通先后题写“攀枝花大学”校名。1995年升格为普通高等专科学校，2001年升格为本科院校并更名为“攀枝花学院”，2005年获得学士学位授予权，2007年开始联合培养研究生，2017年开始举办留学生教育，2021年获批成为硕士学位授予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办学目标：建校近40年以来，学校坚持“立足攀西、面向西部、辐射全国”的服务定位，坚持“立德树人、产教融合、应用为先”的办学理念，秉持“明德、砺志、博学、笃行”的校训，涵育“自律自觉自强、大德大爱大师、阳光健康美丽”的校风教风学风，以学生为本，培养具有“家国情怀、现代文明人格、创新精神和实践能力”的高水平应用型人才，致力建成特色鲜明、优势突出、声誉卓著的应用型一流大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办学条件：学校环境优美、四季如春，倾力打造“校园·公园·花园”一体化，构建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大学如公园</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园有大学”绿色生态校园新格局，荣获“全国文明单位”“全国绿化模范先进单位”“四川省优秀文明校园”。占地总面积约1450亩，校舍面积57.42万平方米。下设21个教学单位、1个科研单位、8个教辅单位和1个直管三甲附属医院，固定资产11.24亿元。图书馆文献509万册，是四川省全民阅读示范基地。学校拥有一支忠诚党的教育事业，倾心从教、倾情爱生的教师队伍。现有教职工1189人（不含附属医院），其中专任教师</w:t>
      </w:r>
      <w:r>
        <w:rPr>
          <w:rFonts w:hint="eastAsia" w:ascii="Times New Roman" w:hAnsi="Times New Roman" w:eastAsia="仿宋_GB2312" w:cs="Times New Roman"/>
          <w:color w:val="auto"/>
          <w:kern w:val="0"/>
          <w:sz w:val="32"/>
          <w:szCs w:val="32"/>
          <w:lang w:val="en-US" w:eastAsia="zh-CN"/>
        </w:rPr>
        <w:t>921</w:t>
      </w:r>
      <w:r>
        <w:rPr>
          <w:rFonts w:hint="default" w:ascii="Times New Roman" w:hAnsi="Times New Roman" w:eastAsia="仿宋_GB2312" w:cs="Times New Roman"/>
          <w:color w:val="auto"/>
          <w:kern w:val="0"/>
          <w:sz w:val="32"/>
          <w:szCs w:val="32"/>
        </w:rPr>
        <w:t>人，享受国务院特殊津贴专家、天府学者特聘专家、天府峨眉计划创业领军人才及青年人才、四川省学术和技术带头人及后备人选等各级各类专家133人次。专任教师中，具有高级专业技术职称人员434人，其中正高级专业技术职称人员132人；具有硕士及以上学位教师790人，其中具有博士学位253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学科专业：学校学科门类齐全，特色鲜明。现有本科专业62个，2个专业硕士学位授权点。建有国家级一流专业1个、特色专业1个、专业综合改革试点项目1个。拥有省部级优势专业15个，省级一流本科专业11个、特色专业6个、应用型示范专业5个，省级专业综合改革试点项目3个、省级卓越人才培养计划12项、国家级一流本科课程3门，省级一流本科课程33门，形成了以钒钛+、康养+专业集群为优势，新工科、新医科、新农科、新文科兼容，理、工、文、法、经、管、医、艺、农9大学科协调发展，普通高等教育、高等职业教育、成人高等教育共同推进的办学特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人才培养：学校身在三线、对标一流。学校现有全日制本专科在校生及研究生、留学生15351人，继续教育学院学生6757人。学校是全国100所应用型本科产教融合发展工程项目建设高校、国家级创新创业学院建设单位、四川省首批双创示范基地、教育部国防教育特色学校，入选中国高等教育博览会“校企合作 双百计划”典型案例4个，拥有省级大学生创新创业俱乐部、省级大学科技园等实训实践平台7个，建有与行业需求高度对接的“方毅·钛班”“方毅·红班”等特色班级。近年来，学生在“互联网+”大学生创新创业大赛共计获得国家级银奖1项、国家级铜奖14项、省级金奖19项、省级银奖59项、省级铜奖98项。本科生就业率均保持在90%以上，稳居全省同类高校前列，用人单位满意度保持在96%以上，考研通过率呈逐年上升趋势。连续多年被评为“四川省高校毕业生就业工作先进单位”“四川省人才开发先进单位”“四川省思想政治工作先进单位”“四川省兴川战略人才强省示范基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科学研究：学校聚焦经济主战场、区域发展战略开展科学研究。是四川省知识产权优势培育单位、四川省首批激励科技人员创新创业改革试点高校、四川省职务科技成果权属混合所有制改革试点单位。建有2个省级现代产业学院，建成康养产业研究、钒钛文化普及、廉政文化教育、三线文化传承“四大省级基地”。建有国家钒钛检测重点实验室1个、国家级攀枝花钒钛孵化器1个、省级重点实验室32个、市级科研平台35个。近五年，各级各类科研项目到账经费1.28亿元，共承担科研项目1647项，其中国家级项目8项、省级127项，获得专利授权1407件，其中发明专利授权156件；发表高水平论文4901篇，其中SCI/SSCI、CPCI、EI论文653篇；获得省科技进步奖8项、省哲学社会科学奖6项、国家一级行业学会奖19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外交流：学校坚持开放办学，不断深化国内、国际交流与合作。学校与四川大学、江西理工大学、中钢集团、攀枝花钢城集团等国内高校、大型企业在科研合作、研究生教育等方面建立了深度合作关系。与美国、英国、法国、瑞典、乌克兰、白俄罗斯、泰国、马来西亚、韩国等国家10余所高校及科研院所广泛开展人才培养、学术及科研合作。近年来，300余名学生赴国(境)外交流学习，200余名教师出国（境）学术交流和访学；与泰国易三仓大学建立了“一带一路”语言研究中心，加入独联体钛协会；从2017年开始成班开展来华留学生教育，生源主要来自“一带一路”沿线国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服务社会：学校主动服务区域经济社会发展，凝智聚力增强服务能力。聚焦四川省“天府第二粮仓”打造，成立农学院，深耕“钒钛+”，建有全国首个钒钛学院、国际钒钛研究院，打造钒钛上中下游“3+3”钒钛协同创新重点团队，组建“9+1+1”钒钛卡脖子技术攻关团队，建有在川高校钒钛协同创新平台、四川省钒钛战略资源创新开发与智能化决策重点实验室，承担涉及钒钛的市级以上科研课题200余项，获得钒钛方面专利100余项、研究成果奖30余项，在钒钛材料研究领域居全省第一方阵。精准对接中国康养胜地城市发展战略，创新组建国内首个康养学院、康养产业技术研究院，承担康养领域各级各类课题100余项。聚焦“双碳”目标，建有太阳能利用技术集成工程实验室、全省首个扬程为620米的逆变升降压光伏提水系统、全省首条年产12万吨工业型煤太阳能与空气源热泵联合干燥生产线和全省首个110KW屋顶分布式光伏实验电站。高层次人才开展专家服务基层活动达460人次；脱贫攻坚到乡村振兴帮扶无缝衔接，投入帮扶资金450余万元，实施帮扶项目60余个，累计派驻帮扶干部16名、到帮扶地开展帮扶工作900余人次、培训帮扶对象2000余人次，荣获攀枝花市脱贫攻坚“记功集体”荣誉，1人获四川省脱贫攻坚先进个人、9人获攀枝花市脱贫攻坚先进个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奋进新征程：立足新方位，迈步新征程。全体攀大人充满信心、下定决心，踔厉奋发、勇毅前行，全力肩负起办人民满意教育和高质量发展建设应用型一流大学的双重使命，主动服务国家战略，积极融入地方发展，不断提升办学水平，在践行“自律自觉自强”中推动改革发展，在弘扬“大德大爱大师”中落实立德树人，在坚定“阳光健康美丽”中传播知识、塑造灵魂、培育新人，为加快建设教育强国、科技强国、人才强国贡献攀大力量。</w:t>
      </w:r>
    </w:p>
    <w:p>
      <w:pPr>
        <w:spacing w:line="500" w:lineRule="exact"/>
        <w:ind w:firstLine="640" w:firstLineChars="200"/>
        <w:rPr>
          <w:rFonts w:hint="default" w:ascii="Times New Roman" w:hAnsi="Times New Roman" w:eastAsia="仿宋_GB2312" w:cs="Times New Roman"/>
          <w:color w:val="auto"/>
          <w:kern w:val="0"/>
          <w:sz w:val="32"/>
          <w:szCs w:val="32"/>
        </w:rPr>
      </w:pPr>
    </w:p>
    <w:p>
      <w:p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Yu Gothic Light">
    <w:panose1 w:val="020B0300000000000000"/>
    <w:charset w:val="80"/>
    <w:family w:val="auto"/>
    <w:pitch w:val="default"/>
    <w:sig w:usb0="E00002FF" w:usb1="2AC7FDFF" w:usb2="00000016" w:usb3="00000000" w:csb0="2002009F" w:csb1="00000000"/>
  </w:font>
  <w:font w:name="Bahnschrift SemiBold SemiCondensed">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Nirmala UI">
    <w:panose1 w:val="020B0502040204020203"/>
    <w:charset w:val="00"/>
    <w:family w:val="auto"/>
    <w:pitch w:val="default"/>
    <w:sig w:usb0="80FF8023" w:usb1="0200004A" w:usb2="00000200" w:usb3="00040000" w:csb0="00000001" w:csb1="00000000"/>
  </w:font>
  <w:font w:name="Sitka Banner">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Arial Black">
    <w:panose1 w:val="020B0A04020102020204"/>
    <w:charset w:val="00"/>
    <w:family w:val="auto"/>
    <w:pitch w:val="default"/>
    <w:sig w:usb0="A00002AF" w:usb1="400078FB" w:usb2="00000000" w:usb3="00000000" w:csb0="6000009F" w:csb1="DFD70000"/>
  </w:font>
  <w:font w:name="Bahnschrift Condensed">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Leelawadee UI Semilight">
    <w:panose1 w:val="020B0402040204020203"/>
    <w:charset w:val="00"/>
    <w:family w:val="auto"/>
    <w:pitch w:val="default"/>
    <w:sig w:usb0="83000003" w:usb1="00000000" w:usb2="00010000" w:usb3="00000001" w:csb0="00010101"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jAxYTZkM2RjNTBiYTkyODU4ODQwN2E2MjI0ZjgifQ=="/>
  </w:docVars>
  <w:rsids>
    <w:rsidRoot w:val="00000000"/>
    <w:rsid w:val="36C63D2A"/>
    <w:rsid w:val="36EB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2024-03-01T03:45:00Z</dcterms:created>
  <dc:creator>asus</dc:creator>
  <cp:lastModifiedBy>吴振雨</cp:lastModifiedBy>
  <dcterms:modified xsi:type="dcterms:W3CDTF">2024-04-22T02:03:47Z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E44155ACA53D40A7B440A39AE2A68592_12</vt:lpwstr>
  </property>
</Properties>
</file>