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1" w:rsidRDefault="00433521" w:rsidP="00433521">
      <w:pPr>
        <w:pStyle w:val="a5"/>
        <w:shd w:val="clear" w:color="auto" w:fill="FFFFFF"/>
        <w:spacing w:line="560" w:lineRule="exact"/>
        <w:jc w:val="center"/>
        <w:rPr>
          <w:rFonts w:ascii="方正小标宋简体" w:eastAsia="方正小标宋简体" w:hAnsiTheme="major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Theme="majorEastAsia" w:hint="eastAsia"/>
          <w:color w:val="000000"/>
          <w:sz w:val="44"/>
          <w:szCs w:val="44"/>
        </w:rPr>
        <w:t>四川博物院2024年公开招聘编外人员岗位和要求一览表</w:t>
      </w:r>
    </w:p>
    <w:tbl>
      <w:tblPr>
        <w:tblW w:w="14498" w:type="dxa"/>
        <w:tblInd w:w="93" w:type="dxa"/>
        <w:tblLayout w:type="fixed"/>
        <w:tblLook w:val="04A0"/>
      </w:tblPr>
      <w:tblGrid>
        <w:gridCol w:w="1034"/>
        <w:gridCol w:w="1057"/>
        <w:gridCol w:w="1012"/>
        <w:gridCol w:w="1384"/>
        <w:gridCol w:w="797"/>
        <w:gridCol w:w="1182"/>
        <w:gridCol w:w="1060"/>
        <w:gridCol w:w="2751"/>
        <w:gridCol w:w="2078"/>
        <w:gridCol w:w="2143"/>
      </w:tblGrid>
      <w:tr w:rsidR="00433521" w:rsidTr="00390A1D">
        <w:trPr>
          <w:trHeight w:val="522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招聘部门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招聘对象范围</w:t>
            </w:r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其他条件要求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433521" w:rsidTr="00390A1D">
        <w:trPr>
          <w:trHeight w:val="8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学历或学位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专业条件要求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bCs/>
                <w:color w:val="000000"/>
                <w:sz w:val="28"/>
                <w:szCs w:val="28"/>
              </w:rPr>
              <w:t>工作职能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521" w:rsidTr="00390A1D">
        <w:trPr>
          <w:trHeight w:val="505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公众服务部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讲解员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应届或往届全日制大学毕业生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1994年1月1日后出生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大学本科及以上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女性身高：1.65米以上，男性身高：1.75米以上</w:t>
            </w:r>
            <w:r>
              <w:rPr>
                <w:rFonts w:ascii="仿宋_GB2312" w:eastAsia="仿宋_GB2312" w:hAnsiTheme="majorEastAsia" w:hint="eastAsia"/>
                <w:color w:val="000000"/>
              </w:rPr>
              <w:br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1.新闻、表演、播音主持、文物与博物馆、考古学、中文、艺术、历史、旅游、教育学等相关专业。</w:t>
            </w:r>
            <w:r>
              <w:rPr>
                <w:rFonts w:ascii="仿宋_GB2312" w:eastAsia="仿宋_GB2312" w:hAnsiTheme="majorEastAsia" w:hint="eastAsia"/>
                <w:color w:val="000000"/>
              </w:rPr>
              <w:br/>
              <w:t>2.普通话达到《普通话水平测试等级标准》二级甲等及以上。</w:t>
            </w:r>
          </w:p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3.精通英语、日语、法语等小语种者优先。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 w:hint="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1.博物馆基本陈列展览和临时展览的中文/英文讲解接待；                          2.博物馆教育活动的策划与执行；                        3.博物馆场馆开放与咨询；</w:t>
            </w:r>
          </w:p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4.流动博物馆展览策划及设备管理与维护；</w:t>
            </w:r>
            <w:r>
              <w:rPr>
                <w:rFonts w:ascii="仿宋_GB2312" w:eastAsia="仿宋_GB2312" w:hAnsiTheme="majorEastAsia" w:hint="eastAsia"/>
                <w:color w:val="000000"/>
              </w:rPr>
              <w:br/>
              <w:t>5.讲解和教育活动相关文稿撰写；</w:t>
            </w:r>
          </w:p>
          <w:p w:rsidR="00433521" w:rsidRDefault="00433521" w:rsidP="00CD0BFD">
            <w:pPr>
              <w:pStyle w:val="a5"/>
              <w:shd w:val="clear" w:color="auto" w:fill="FFFFFF"/>
              <w:spacing w:line="32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6.上级领导交办的其他工作任务。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21" w:rsidRDefault="00433521" w:rsidP="00CD0BFD">
            <w:pPr>
              <w:pStyle w:val="a5"/>
              <w:shd w:val="clear" w:color="auto" w:fill="FFFFFF"/>
              <w:spacing w:line="560" w:lineRule="exact"/>
              <w:rPr>
                <w:rFonts w:ascii="仿宋_GB2312" w:eastAsia="仿宋_GB2312" w:hAnsiTheme="majorEastAsia"/>
                <w:color w:val="000000"/>
              </w:rPr>
            </w:pPr>
            <w:r>
              <w:rPr>
                <w:rFonts w:ascii="仿宋_GB2312" w:eastAsia="仿宋_GB2312" w:hAnsiTheme="majorEastAsia" w:hint="eastAsia"/>
                <w:color w:val="000000"/>
              </w:rPr>
              <w:t>该岗位需节假日、周末及夜间轮班</w:t>
            </w:r>
          </w:p>
        </w:tc>
      </w:tr>
    </w:tbl>
    <w:p w:rsidR="00433521" w:rsidRPr="00433521" w:rsidRDefault="00433521" w:rsidP="00433521">
      <w:pPr>
        <w:pStyle w:val="a5"/>
        <w:shd w:val="clear" w:color="auto" w:fill="FFFFFF"/>
        <w:spacing w:line="560" w:lineRule="exact"/>
        <w:rPr>
          <w:rFonts w:ascii="方正小标宋简体" w:eastAsia="方正小标宋简体" w:hAnsiTheme="majorEastAsia" w:hint="eastAsia"/>
          <w:color w:val="000000"/>
          <w:sz w:val="44"/>
          <w:szCs w:val="44"/>
        </w:rPr>
      </w:pPr>
    </w:p>
    <w:sectPr w:rsidR="00433521" w:rsidRPr="00433521" w:rsidSect="00390A1D">
      <w:pgSz w:w="16838" w:h="11906" w:orient="landscape"/>
      <w:pgMar w:top="1588" w:right="1440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ED" w:rsidRDefault="000C73ED" w:rsidP="00433521">
      <w:r>
        <w:separator/>
      </w:r>
    </w:p>
  </w:endnote>
  <w:endnote w:type="continuationSeparator" w:id="0">
    <w:p w:rsidR="000C73ED" w:rsidRDefault="000C73ED" w:rsidP="0043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ED" w:rsidRDefault="000C73ED" w:rsidP="00433521">
      <w:r>
        <w:separator/>
      </w:r>
    </w:p>
  </w:footnote>
  <w:footnote w:type="continuationSeparator" w:id="0">
    <w:p w:rsidR="000C73ED" w:rsidRDefault="000C73ED" w:rsidP="00433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521"/>
    <w:rsid w:val="000C73ED"/>
    <w:rsid w:val="00390A1D"/>
    <w:rsid w:val="00433521"/>
    <w:rsid w:val="004A7A94"/>
    <w:rsid w:val="0065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3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21"/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sid w:val="00433521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2024-06-20T03:17:00Z</dcterms:created>
  <dcterms:modified xsi:type="dcterms:W3CDTF">2024-06-20T03:23:00Z</dcterms:modified>
</cp:coreProperties>
</file>