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3200" w:firstLineChars="1000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玉溪市中山医院202</w:t>
      </w:r>
      <w:r>
        <w:rPr>
          <w:rFonts w:hint="eastAsia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公开</w:t>
      </w: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招聘编制外工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作人员岗位表</w:t>
      </w:r>
      <w:r>
        <w:rPr>
          <w:rFonts w:hint="eastAsia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（58名）</w:t>
      </w:r>
    </w:p>
    <w:tbl>
      <w:tblPr>
        <w:tblStyle w:val="4"/>
        <w:tblpPr w:leftFromText="180" w:rightFromText="180" w:vertAnchor="page" w:horzAnchor="page" w:tblpX="1092" w:tblpY="2821"/>
        <w:tblOverlap w:val="never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63"/>
        <w:gridCol w:w="540"/>
        <w:gridCol w:w="940"/>
        <w:gridCol w:w="1530"/>
        <w:gridCol w:w="1552"/>
        <w:gridCol w:w="1748"/>
        <w:gridCol w:w="1275"/>
        <w:gridCol w:w="2155"/>
        <w:gridCol w:w="2838"/>
        <w:gridCol w:w="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考试环节设置及所占综合成绩比例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毕业证以外其他证书要求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毕业时间要求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其他要求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护理A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3"/>
                <w:szCs w:val="13"/>
                <w:u w:val="none"/>
                <w:lang w:val="en-US" w:eastAsia="zh-CN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u w:val="none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ind w:firstLine="130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护士执业资格证（考试成绩合格证明也视同取得）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3"/>
                <w:szCs w:val="13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3"/>
                <w:szCs w:val="13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13"/>
                <w:szCs w:val="13"/>
                <w:highlight w:val="none"/>
                <w:shd w:val="clear" w:color="auto" w:fill="FFFFFF"/>
              </w:rPr>
              <w:t>35周岁及以下；具有研究生学历或中级职称者，年龄可放宽到40周岁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13"/>
                <w:szCs w:val="13"/>
                <w:highlight w:val="none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highlight w:val="none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护理B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护士执业资格证（考试成绩合格证明也视同取得）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助产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助产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护士执业资格证（考试成绩合格证明也视同取得）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DSA介入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技师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医学影像学；医学影像技术；及相近专业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医学影像学：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；住院医师规范化培训合格证（规培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成绩合格证明也视同取得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 xml:space="preserve">）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医学影像技术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预防医学；及相近专业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35周岁及以下；具有公共卫生医师资格证；具有研究生学历或中级职称者，年龄可放宽到40周岁。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卫生管理人员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执业医师资格证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35周岁及以下；具有公共卫生医师资格证；具有研究生学历或中级职称者，年龄可放宽到40周岁。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药学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中医药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医务部干事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临床医学；及相近专业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执业医师资格证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；住院医师规范化培训合格证（规培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成绩合格证明也视同取得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后勤保障干事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电气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及相近专业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35周岁及以下；具有硕士研究生学历或中级职称者，年龄可放宽到40周岁。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后勤保障干事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财务；审计；及相近专业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信息技术干事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计算机及信息技术；及相近专业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%，专业技能测试80%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文秘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中文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新闻学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收费员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财务管理；会计学；经济学；审计学；统计学；税收学；金融学；财政学；国际经济与贸易；及相近专业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；具有会计系列初职及以上证书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（考试成绩合格证明也视同取得）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劳资干事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人力资源管理；及相关专业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0%，专业技能测试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学位证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2022年度至2024年度毕业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35周岁及以下；具有研究生学历或中级职称者，年龄可放宽到40周岁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1.专业技能测试成绩最低合格线为70分；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lang w:val="en-US" w:eastAsia="zh-CN"/>
              </w:rPr>
              <w:t>2.硕士研究生免笔试，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shd w:val="clear" w:color="auto" w:fill="auto"/>
                <w:lang w:val="en-US" w:eastAsia="zh-CN"/>
              </w:rPr>
              <w:t>专业技能测试成绩占100%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2"/>
                <w:sz w:val="13"/>
                <w:szCs w:val="13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pgSz w:w="16838" w:h="11906" w:orient="landscape"/>
      <w:pgMar w:top="1588" w:right="2041" w:bottom="1474" w:left="1304" w:header="136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86198"/>
    <w:rsid w:val="3B1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2024-07-16T08:43:00Z</dcterms:created>
  <dc:creator>Administrator</dc:creator>
  <cp:lastModifiedBy>Administrator</cp:lastModifiedBy>
  <dcterms:modified xsi:type="dcterms:W3CDTF">2024-07-16T08:43:44Z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