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</w:pPr>
      <w:r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  <w:t>井冈山大学附属中学简介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井冈山大学附属中学简介井冈山大学附属中学创办于1978年，是江西省重点（高级）中学，学校地处吉安市中心城区，依吉安大桥与吉州区相连，区位优越，交通便利。学校占地面积66629平方米，建筑面积3.05万平方米。现有教职员工268人，其中正高级教师1人，省学科带头人2人，省级骨干教师6人，高级教师96人；在校学生3458人，67个教学班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多年来，学校立足生源实际，坚持文化加艺体特长的办学定位，践行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文化本科+精品特长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的办学之路，对学生因材施教，分层教学，分级培养，文化熏陶。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天祥班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重点培养，艺术班特色打造，特色办学品牌初现，文化高考实现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低进高出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逆袭。教学质量连年攀升，学校先后荣获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江西省中小学平安校园示范学校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、江西省第二届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文明校园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、普通高中新课程新教材省级示范校。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2023年7月，青原区人民政府与井冈山大学签订合作办学协议，双方本着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资源共享，优势互补，协同创新，发展共赢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的原则，实行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政府投入，高校托管，双方共建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的合作方式，引进名校长，充实优质师资，创优办学条件，联合将井冈山大学附属中学打造成吉安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全市一流，特色鲜明的市直优质品牌高中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。引进的老师，除享有青原区其他学校教师同等待遇外，特别设立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映山红</w:t>
      </w:r>
      <w:r>
        <w:rPr>
          <w:rFonts w:hint="default" w:ascii="宋体" w:hAnsi="宋体"/>
          <w:color w:val="000000"/>
          <w:position w:val="6"/>
          <w:sz w:val="20"/>
          <w:szCs w:val="24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  <w:t>教育发展基金，每年300万元，用于优秀教师奖励和教师全员培训，提高教师素质，井冈山大学附属中学迈入全新的发展轨道。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172A27"/>
    <w:rsid w:val="0BE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2024-07-22T01:21:00Z</dcterms:created>
  <dc:creator>WPS_1570430090</dc:creator>
  <cp:lastModifiedBy>WPS_1570430090</cp:lastModifiedBy>
  <dcterms:modified xsi:type="dcterms:W3CDTF">2024-07-22T01:21:41Z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A41F1407F8E8475BBAA7148EA3B365C9_11</vt:lpwstr>
  </property>
</Properties>
</file>