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ind w:leftChars="100" w:left="1810" w:hangingChars="500" w:hanging="1600"/>
        <w:textAlignment w:val="auto"/>
        <w:rPr>
          <w:rFonts w:ascii="Times New Roman" w:eastAsia="仿宋_GB2312" w:cs="Times New Roman" w:hAnsi="Times New Roman"/>
          <w:color w:val="auto"/>
          <w:sz w:val="21"/>
          <w:szCs w:val="21"/>
        </w:rPr>
      </w:pPr>
      <w:r>
        <w:rPr>
          <w:rFonts w:ascii="Times New Roman" w:eastAsia="黑体" w:cs="Times New Roman" w:hAnsi="Times New Roman"/>
          <w:b w:val="0"/>
          <w:bCs w:val="0"/>
          <w:color w:val="auto"/>
          <w:kern w:val="0"/>
          <w:sz w:val="32"/>
          <w:szCs w:val="32"/>
          <w:shd w:val="clear" w:color="auto" w:fill="FFFFFF"/>
          <w:lang w:eastAsia="zh-CN"/>
        </w:rPr>
        <w:t>附件</w:t>
      </w:r>
      <w:r>
        <w:rPr>
          <w:rFonts w:ascii="Times New Roman" w:eastAsia="黑体" w:cs="Times New Roman" w:hAnsi="Times New Roman"/>
          <w:b w:val="0"/>
          <w:bCs w:val="0"/>
          <w:color w:val="auto"/>
          <w:kern w:val="0"/>
          <w:sz w:val="32"/>
          <w:szCs w:val="32"/>
          <w:shd w:val="clear" w:color="auto" w:fill="FFFFFF"/>
          <w:lang w:val="en-US" w:eastAsia="zh-CN"/>
        </w:rPr>
        <w:t>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eastAsia="仿宋_GB2312" w:cs="Times New Roman" w:hAnsi="Times New Roman"/>
          <w:color w:val="auto"/>
          <w:kern w:val="0"/>
          <w:sz w:val="32"/>
          <w:szCs w:val="32"/>
          <w:shd w:val="clear" w:color="auto" w:fill="FFFFFF"/>
        </w:rPr>
      </w:pPr>
      <w:r>
        <w:rPr>
          <w:rFonts w:ascii="Times New Roman" w:eastAsia="方正小标宋简体" w:cs="Times New Roman" w:hAnsi="Times New Roman"/>
          <w:color w:val="auto"/>
          <w:kern w:val="0"/>
          <w:sz w:val="44"/>
          <w:szCs w:val="44"/>
          <w:shd w:val="clear" w:color="auto" w:fill="FFFFFF"/>
        </w:rPr>
        <w:t>考试大纲</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黑体" w:cs="Times New Roman" w:hAnsi="Times New Roman"/>
          <w:bCs/>
          <w:color w:val="auto"/>
          <w:kern w:val="0"/>
          <w:sz w:val="32"/>
          <w:szCs w:val="32"/>
          <w:shd w:val="clear" w:color="auto" w:fill="FFFFFF"/>
        </w:rPr>
      </w:pPr>
      <w:bookmarkStart w:id="0" w:name="_GoBack"/>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黑体" w:cs="Times New Roman" w:hAnsi="Times New Roman"/>
          <w:bCs/>
          <w:kern w:val="0"/>
          <w:sz w:val="32"/>
          <w:szCs w:val="32"/>
        </w:rPr>
      </w:pPr>
      <w:bookmarkEnd w:id="0"/>
      <w:r>
        <w:rPr>
          <w:rFonts w:ascii="Times New Roman" w:eastAsia="黑体" w:cs="Times New Roman" w:hAnsi="Times New Roman"/>
          <w:bCs/>
          <w:kern w:val="0"/>
          <w:sz w:val="32"/>
          <w:szCs w:val="32"/>
        </w:rPr>
        <w:t>一、笔试科目</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《综合应用能力》为主观题，考试时限为150分钟；《职业能力倾向测验》为客观题，考试时限为90分钟。两个科目满分均为100分。</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黑体" w:cs="Times New Roman" w:hAnsi="Times New Roman"/>
          <w:bCs/>
          <w:kern w:val="0"/>
          <w:sz w:val="32"/>
          <w:szCs w:val="32"/>
        </w:rPr>
      </w:pPr>
      <w:r>
        <w:rPr>
          <w:rFonts w:ascii="Times New Roman" w:eastAsia="黑体" w:cs="Times New Roman" w:hAnsi="Times New Roman"/>
          <w:bCs/>
          <w:kern w:val="0"/>
          <w:sz w:val="32"/>
          <w:szCs w:val="32"/>
        </w:rPr>
        <w:t>二、笔试方式</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闭卷考试。</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黑体" w:cs="Times New Roman" w:hAnsi="Times New Roman"/>
          <w:bCs/>
          <w:kern w:val="0"/>
          <w:sz w:val="32"/>
          <w:szCs w:val="32"/>
        </w:rPr>
      </w:pPr>
      <w:r>
        <w:rPr>
          <w:rFonts w:ascii="Times New Roman" w:eastAsia="黑体" w:cs="Times New Roman" w:hAnsi="Times New Roman"/>
          <w:bCs/>
          <w:kern w:val="0"/>
          <w:sz w:val="32"/>
          <w:szCs w:val="32"/>
        </w:rPr>
        <w:t>三、笔试内容</w:t>
      </w:r>
    </w:p>
    <w:p>
      <w:pPr>
        <w:keepNext w:val="0"/>
        <w:keepLines w:val="0"/>
        <w:pageBreakBefore w:val="0"/>
        <w:widowControl/>
        <w:kinsoku/>
        <w:wordWrap/>
        <w:overflowPunct/>
        <w:topLinePunct w:val="0"/>
        <w:autoSpaceDE/>
        <w:autoSpaceDN/>
        <w:bidi w:val="0"/>
        <w:adjustRightInd/>
        <w:snapToGrid/>
        <w:spacing w:line="560" w:lineRule="exact"/>
        <w:ind w:firstLine="420"/>
        <w:jc w:val="both"/>
        <w:textAlignment w:val="auto"/>
        <w:rPr>
          <w:rFonts w:ascii="Times New Roman" w:eastAsia="楷体_GB2312" w:cs="Times New Roman" w:hAnsi="Times New Roman"/>
          <w:kern w:val="0"/>
          <w:sz w:val="32"/>
          <w:szCs w:val="32"/>
        </w:rPr>
      </w:pPr>
      <w:r>
        <w:rPr>
          <w:rFonts w:ascii="Times New Roman" w:eastAsia="楷体_GB2312" w:cs="Times New Roman" w:hAnsi="Times New Roman"/>
          <w:kern w:val="0"/>
          <w:sz w:val="32"/>
          <w:szCs w:val="32"/>
        </w:rPr>
        <w:t>（一）《综合应用能力》</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主要测查应考人员的阅读理解能力、归纳概括能力、逻辑思维能力、综合分析能力、解决问题能力和文字综合能力等。</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测查题型包括案例（材料）分析题、论述评价题、校阅改错题、材料作文题等。每次考试从上述题型中组合选取。</w:t>
      </w:r>
    </w:p>
    <w:p>
      <w:pPr>
        <w:keepNext w:val="0"/>
        <w:keepLines w:val="0"/>
        <w:pageBreakBefore w:val="0"/>
        <w:widowControl/>
        <w:kinsoku/>
        <w:wordWrap/>
        <w:overflowPunct/>
        <w:topLinePunct w:val="0"/>
        <w:autoSpaceDE/>
        <w:autoSpaceDN/>
        <w:bidi w:val="0"/>
        <w:adjustRightInd/>
        <w:snapToGrid/>
        <w:spacing w:line="560" w:lineRule="exact"/>
        <w:ind w:firstLine="420"/>
        <w:jc w:val="both"/>
        <w:textAlignment w:val="auto"/>
        <w:rPr>
          <w:rFonts w:ascii="Times New Roman" w:eastAsia="楷体_GB2312" w:cs="Times New Roman" w:hAnsi="Times New Roman"/>
          <w:kern w:val="0"/>
          <w:sz w:val="32"/>
          <w:szCs w:val="32"/>
        </w:rPr>
      </w:pPr>
      <w:r>
        <w:rPr>
          <w:rFonts w:ascii="Times New Roman" w:eastAsia="楷体_GB2312" w:cs="Times New Roman" w:hAnsi="Times New Roman"/>
          <w:kern w:val="0"/>
          <w:sz w:val="32"/>
          <w:szCs w:val="32"/>
        </w:rPr>
        <w:t>（二）《职业能力倾向测验》</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主要测查应考人员从事事业单位工作的潜能。</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测查内容包括言语理解与表达、数量关系、判断推理、资料分析和常识判断等五个部分。</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b/>
          <w:bCs/>
          <w:kern w:val="0"/>
          <w:sz w:val="32"/>
          <w:szCs w:val="32"/>
        </w:rPr>
      </w:pPr>
      <w:r>
        <w:rPr>
          <w:rFonts w:ascii="Times New Roman" w:eastAsia="仿宋_GB2312" w:cs="Times New Roman" w:hAnsi="Times New Roman"/>
          <w:b/>
          <w:bCs/>
          <w:kern w:val="0"/>
          <w:sz w:val="32"/>
          <w:szCs w:val="32"/>
        </w:rPr>
        <w:t>1.言语理解与表达</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b/>
          <w:bCs/>
          <w:kern w:val="0"/>
          <w:sz w:val="32"/>
          <w:szCs w:val="32"/>
        </w:rPr>
      </w:pPr>
      <w:r>
        <w:rPr>
          <w:rFonts w:ascii="Times New Roman" w:eastAsia="仿宋_GB2312" w:cs="Times New Roman" w:hAnsi="Times New Roman"/>
          <w:b/>
          <w:bCs/>
          <w:kern w:val="0"/>
          <w:sz w:val="32"/>
          <w:szCs w:val="32"/>
        </w:rPr>
        <w:t>2.数量关系</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主要测查应考人员对基本数量关系的理解能力、数学运算能力，对数字排列顺序或排列规律的判断识别能力等。</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b/>
          <w:bCs/>
          <w:kern w:val="0"/>
          <w:sz w:val="32"/>
          <w:szCs w:val="32"/>
        </w:rPr>
      </w:pPr>
      <w:r>
        <w:rPr>
          <w:rFonts w:ascii="Times New Roman" w:eastAsia="仿宋_GB2312" w:cs="Times New Roman" w:hAnsi="Times New Roman"/>
          <w:b/>
          <w:bCs/>
          <w:kern w:val="0"/>
          <w:sz w:val="32"/>
          <w:szCs w:val="32"/>
        </w:rPr>
        <w:t>3.判断推理</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主要测查应考人员对客观事物及其关系的分析推理能力，其中包括对词语、图形、概念、短文等材料的理解、比较、判断、演绎、归纳、综合等。</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b/>
          <w:bCs/>
          <w:kern w:val="0"/>
          <w:sz w:val="32"/>
          <w:szCs w:val="32"/>
        </w:rPr>
      </w:pPr>
      <w:r>
        <w:rPr>
          <w:rFonts w:ascii="Times New Roman" w:eastAsia="仿宋_GB2312" w:cs="Times New Roman" w:hAnsi="Times New Roman"/>
          <w:b/>
          <w:bCs/>
          <w:kern w:val="0"/>
          <w:sz w:val="32"/>
          <w:szCs w:val="32"/>
        </w:rPr>
        <w:t>4.资料分析</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主要测查应考人员对各种形式的统计资料（包括文字、图形和表格等）进行正确理解、分析、计算、比较、处理的能力。</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b/>
          <w:bCs/>
          <w:kern w:val="0"/>
          <w:sz w:val="32"/>
          <w:szCs w:val="32"/>
        </w:rPr>
      </w:pPr>
      <w:r>
        <w:rPr>
          <w:rFonts w:ascii="Times New Roman" w:eastAsia="仿宋_GB2312" w:cs="Times New Roman" w:hAnsi="Times New Roman"/>
          <w:b/>
          <w:bCs/>
          <w:kern w:val="0"/>
          <w:sz w:val="32"/>
          <w:szCs w:val="32"/>
        </w:rPr>
        <w:t>5.常识判断</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主要测查应考人员对政治、时事、国情、省情、法律、经济、科技、历史、人文等知识的掌握和运用能力。</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Times New Roman" w:eastAsia="黑体" w:cs="Times New Roman" w:hAnsi="Times New Roman"/>
          <w:bCs/>
          <w:kern w:val="0"/>
          <w:sz w:val="32"/>
          <w:szCs w:val="32"/>
        </w:rPr>
      </w:pPr>
      <w:r>
        <w:rPr>
          <w:rFonts w:ascii="Times New Roman" w:eastAsia="黑体" w:cs="Times New Roman" w:hAnsi="Times New Roman"/>
          <w:bCs/>
          <w:kern w:val="0"/>
          <w:sz w:val="32"/>
          <w:szCs w:val="32"/>
        </w:rPr>
        <w:t>四、作答要求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考生在作答前，应用黑色字迹的签字笔或钢笔在答题卡（纸）上指定位置填写“姓名”和“准考证号”，并用2B铅笔将“准考证号”下面对应的信息点涂黑。</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Times New Roman" w:eastAsia="楷体_GB2312" w:cs="Times New Roman" w:hAnsi="Times New Roman"/>
          <w:kern w:val="0"/>
          <w:sz w:val="32"/>
          <w:szCs w:val="32"/>
        </w:rPr>
      </w:pPr>
      <w:r>
        <w:rPr>
          <w:rFonts w:ascii="Times New Roman" w:eastAsia="楷体_GB2312" w:cs="Times New Roman" w:hAnsi="Times New Roman"/>
          <w:kern w:val="0"/>
          <w:sz w:val="32"/>
          <w:szCs w:val="32"/>
        </w:rPr>
        <w:t>（一）《综合应用能力》</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应考人员必须用黑色墨水笔在专用答题纸指定题号的指定位置内作答，用铅笔作答或在非指定位置内作答的一律无效。答题不得使用涂改液。</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Times New Roman" w:eastAsia="楷体_GB2312" w:cs="Times New Roman" w:hAnsi="Times New Roman"/>
          <w:kern w:val="0"/>
          <w:sz w:val="32"/>
          <w:szCs w:val="32"/>
        </w:rPr>
      </w:pPr>
      <w:r>
        <w:rPr>
          <w:rFonts w:ascii="Times New Roman" w:eastAsia="楷体_GB2312" w:cs="Times New Roman" w:hAnsi="Times New Roman"/>
          <w:kern w:val="0"/>
          <w:sz w:val="32"/>
          <w:szCs w:val="32"/>
        </w:rPr>
        <w:t>（二）《职业能力倾向测验》</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Times New Roman" w:cs="Times New Roman" w:hAnsi="Times New Roman"/>
          <w:lang w:val="en-US" w:eastAsia="zh-CN"/>
        </w:rPr>
      </w:pPr>
      <w:r>
        <w:rPr>
          <w:rFonts w:ascii="Times New Roman" w:eastAsia="仿宋_GB2312" w:cs="Times New Roman" w:hAnsi="Times New Roman"/>
          <w:kern w:val="0"/>
          <w:sz w:val="32"/>
          <w:szCs w:val="32"/>
        </w:rPr>
        <w:t>应考人员必须用2B铅笔在答题卡上作答，作答在题本上或其他位置的一律无效。</w:t>
      </w:r>
    </w:p>
    <w:p>
      <w:pPr>
        <w:widowControl/>
        <w:spacing w:line="520" w:lineRule="exact"/>
        <w:jc w:val="both"/>
        <w:rPr>
          <w:rFonts w:ascii="Times New Roman" w:eastAsia="仿宋_GB2312" w:cs="Times New Roman" w:hAnsi="Times New Roman"/>
          <w:b/>
          <w:bCs/>
          <w:kern w:val="0"/>
          <w:sz w:val="32"/>
          <w:szCs w:val="32"/>
          <w:lang w:val="en-US" w:eastAsia="zh-CN"/>
        </w:rPr>
      </w:pPr>
    </w:p>
    <w:sectPr>
      <w:footerReference w:type="default" r:id="rId2"/>
      <w:pgSz w:w="11906" w:h="16838"/>
      <w:pgMar w:top="2098" w:right="1474" w:bottom="1984"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AFF" w:usb1="C0007841" w:usb2="00000009" w:usb3="00000000" w:csb0="400001FF" w:csb1="FFFF0000"/>
  </w:font>
  <w:font w:name="黑体">
    <w:panose1 w:val="0201060003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方正小标宋简体">
    <w:altName w:val="Arial Unicode MS"/>
    <w:panose1 w:val="03000509000000000000"/>
    <w:charset w:val="86"/>
    <w:family w:val="auto"/>
    <w:pitch w:val="variable"/>
    <w:sig w:usb0="00000001" w:usb1="080E0000" w:usb2="00000000" w:usb3="00000000" w:csb0="00040000" w:csb1="00000000"/>
  </w:font>
  <w:font w:name="楷体_GB2312">
    <w:altName w:val="楷体"/>
    <w:panose1 w:val="02010609030101010101"/>
    <w:charset w:val="86"/>
    <w:family w:val="auto"/>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文星简小标宋">
    <w:altName w:val="HP Simplified Hans"/>
    <w:panose1 w:val="02010609000101010101"/>
    <w:charset w:val="86"/>
    <w:family w:val="moder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253898" cy="175412"/>
              <wp:effectExtent l="0" t="0" r="0" b="0"/>
              <wp:wrapNone/>
              <wp:docPr id="1" name="文本框 2"/>
              <wp:cNvGraphicFramePr>
                <a:graphicFrameLocks noChangeAspect="0"/>
              </wp:cNvGraphicFramePr>
              <a:graphic>
                <a:graphicData uri="http://schemas.microsoft.com/office/word/2010/wordprocessingShape">
                  <wps:wsp>
                    <wps:cNvSpPr/>
                    <wps:spPr>
                      <a:xfrm rot="0">
                        <a:off x="0" y="0"/>
                        <a:ext cx="253898" cy="175412"/>
                      </a:xfrm>
                      <a:prstGeom prst="rect"/>
                      <a:noFill/>
                      <a:ln w="6350" cmpd="sng" cap="flat">
                        <a:noFill/>
                        <a:prstDash val="solid"/>
                        <a:round/>
                      </a:ln>
                    </wps:spPr>
                    <wps:txbx id="2">
                      <w:txbxContent>
                        <w:p>
                          <w:pPr>
                            <w:pStyle w:val="19"/>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1</w:t>
                          </w:r>
                          <w:r>
                            <w:rPr>
                              <w:rFonts w:ascii="Times New Roman" w:cs="Times New Roman" w:hAnsi="Times New Roman"/>
                              <w:sz w:val="24"/>
                              <w:szCs w:val="24"/>
                            </w:rPr>
                            <w:fldChar w:fldCharType="end"/>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19.991997pt;height:13.811984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1</w:t>
                    </w:r>
                    <w:r>
                      <w:rPr>
                        <w:rFonts w:ascii="Times New Roman" w:cs="Times New Roman" w:hAnsi="Times New Roman"/>
                        <w:sz w:val="24"/>
                        <w:szCs w:val="24"/>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Dk0OTMwYjZlZTFmNjU5NDU3NDRmZTZjOTdjMWEzYj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widowControl/>
      <w:spacing w:before="100" w:beforeAutospacing="1" w:after="100" w:afterAutospacing="1"/>
      <w:jc w:val="left"/>
      <w:outlineLvl w:val="0"/>
    </w:pPr>
    <w:rPr>
      <w:rFonts w:ascii="宋体" w:cs="宋体" w:hAnsi="宋体"/>
      <w:b/>
      <w:bCs/>
      <w:kern w:val="36"/>
      <w:sz w:val="48"/>
      <w:szCs w:val="48"/>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pPr>
      <w:ind w:firstLineChars="200" w:firstLine="200"/>
    </w:pPr>
  </w:style>
  <w:style w:type="paragraph" w:styleId="16">
    <w:name w:val="Body Text"/>
    <w:basedOn w:val="0"/>
    <w:next w:val="17"/>
    <w:pPr>
      <w:jc w:val="center"/>
    </w:pPr>
    <w:rPr>
      <w:rFonts w:eastAsia="文星简小标宋"/>
      <w:sz w:val="44"/>
      <w:szCs w:val="20"/>
    </w:rPr>
  </w:style>
  <w:style w:type="paragraph" w:styleId="17">
    <w:name w:val="Body Text First Indent"/>
    <w:basedOn w:val="16"/>
    <w:next w:val="0"/>
    <w:pPr>
      <w:spacing w:line="500" w:lineRule="exact"/>
      <w:ind w:firstLine="420"/>
    </w:pPr>
    <w:rPr>
      <w:rFonts w:eastAsia="宋体"/>
      <w:sz w:val="28"/>
    </w:rPr>
  </w:style>
  <w:style w:type="paragraph" w:styleId="18">
    <w:name w:val="Body Text Indent"/>
    <w:basedOn w:val="0"/>
    <w:pPr>
      <w:spacing w:line="720" w:lineRule="exact"/>
      <w:ind w:firstLine="645"/>
    </w:pPr>
    <w:rPr>
      <w:rFonts w:ascii="仿宋_GB2312" w:hAnsi="仿宋_GB2312"/>
      <w:szCs w:val="20"/>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Normal (Web)"/>
    <w:basedOn w:val="0"/>
    <w:pPr>
      <w:jc w:val="left"/>
    </w:pPr>
    <w:rPr>
      <w:rFonts w:cs="Times New Roman"/>
      <w:kern w:val="0"/>
      <w:sz w:val="24"/>
    </w:rPr>
  </w:style>
  <w:style w:type="character" w:styleId="22">
    <w:name w:val="Strong"/>
    <w:basedOn w:val="10"/>
    <w:rPr>
      <w:b/>
    </w:rPr>
  </w:style>
  <w:style w:type="character" w:customStyle="1" w:styleId="23">
    <w:name w:val="10"/>
    <w:basedOn w:val="10"/>
    <w:rPr>
      <w:rFonts w:ascii="Times New Roman" w:cs="Times New Roman" w:hAnsi="Times New Roman"/>
    </w:rPr>
  </w:style>
  <w:style w:type="character" w:customStyle="1" w:styleId="24">
    <w:name w:val="15"/>
    <w:basedOn w:val="10"/>
    <w:rPr>
      <w:rFonts w:ascii="Times New Roman" w:cs="Times New Roman" w:hAnsi="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6E8B3C4-567F-47E0-8E1D-1C44057AC50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TotalTime>
  <Application>Yozo_Office27021597764231179</Application>
  <Pages>3</Pages>
  <Words>0</Words>
  <Characters>653</Characters>
  <Lines>0</Lines>
  <Paragraphs>31</Paragraphs>
  <CharactersWithSpaces>871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cwy</dc:creator>
  <cp:lastModifiedBy>hp06</cp:lastModifiedBy>
  <cp:revision>0</cp:revision>
  <cp:lastPrinted>2024-07-29T09:27:00Z</cp:lastPrinted>
  <dcterms:created xsi:type="dcterms:W3CDTF">2022-10-19T00:58:00Z</dcterms:created>
  <dcterms:modified xsi:type="dcterms:W3CDTF">2024-07-30T07:38:48Z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5D7BBCBCCCC3498EA782876108061821</vt:lpwstr>
  </property>
</Properties>
</file>