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F3F9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附件2：</w:t>
      </w:r>
    </w:p>
    <w:p w14:paraId="2FE6CF1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hAnsi="黑体" w:eastAsia="方正小标宋简体"/>
          <w:b w:val="0"/>
          <w:sz w:val="36"/>
          <w:szCs w:val="36"/>
        </w:rPr>
      </w:pPr>
      <w:r>
        <w:rPr>
          <w:rFonts w:hint="eastAsia" w:ascii="方正小标宋简体" w:hAnsi="黑体" w:eastAsia="方正小标宋简体"/>
          <w:b w:val="0"/>
          <w:sz w:val="36"/>
          <w:szCs w:val="36"/>
        </w:rPr>
        <w:t>通辽市2024年优秀青年人才专项引进人才评价表（**单位）</w:t>
      </w:r>
    </w:p>
    <w:tbl>
      <w:tblPr>
        <w:tblStyle w:val="5"/>
        <w:tblW w:w="9088" w:type="dxa"/>
        <w:jc w:val="center"/>
        <w:tblLayout w:type="fixed"/>
        <w:tblCellMar>
          <w:top w:w="0" w:type="dxa"/>
          <w:left w:w="108" w:type="dxa"/>
          <w:bottom w:w="0" w:type="dxa"/>
          <w:right w:w="108" w:type="dxa"/>
        </w:tblCellMar>
      </w:tblPr>
      <w:tblGrid>
        <w:gridCol w:w="739"/>
        <w:gridCol w:w="713"/>
        <w:gridCol w:w="5377"/>
        <w:gridCol w:w="640"/>
        <w:gridCol w:w="863"/>
        <w:gridCol w:w="756"/>
      </w:tblGrid>
      <w:tr w14:paraId="67ACE11C">
        <w:tblPrEx>
          <w:tblCellMar>
            <w:top w:w="0" w:type="dxa"/>
            <w:left w:w="108" w:type="dxa"/>
            <w:bottom w:w="0" w:type="dxa"/>
            <w:right w:w="108" w:type="dxa"/>
          </w:tblCellMar>
        </w:tblPrEx>
        <w:trPr>
          <w:trHeight w:val="611" w:hRule="atLeast"/>
          <w:jc w:val="center"/>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0BDEFE9E">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评价类别</w:t>
            </w:r>
          </w:p>
        </w:tc>
        <w:tc>
          <w:tcPr>
            <w:tcW w:w="713" w:type="dxa"/>
            <w:tcBorders>
              <w:top w:val="single" w:color="auto" w:sz="4" w:space="0"/>
              <w:left w:val="nil"/>
              <w:bottom w:val="single" w:color="auto" w:sz="4" w:space="0"/>
              <w:right w:val="single" w:color="auto" w:sz="4" w:space="0"/>
            </w:tcBorders>
            <w:shd w:val="clear" w:color="auto" w:fill="auto"/>
            <w:vAlign w:val="center"/>
          </w:tcPr>
          <w:p w14:paraId="153CA3D0">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评价</w:t>
            </w:r>
          </w:p>
          <w:p w14:paraId="09782F50">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项目</w:t>
            </w:r>
          </w:p>
        </w:tc>
        <w:tc>
          <w:tcPr>
            <w:tcW w:w="5377" w:type="dxa"/>
            <w:tcBorders>
              <w:top w:val="single" w:color="auto" w:sz="4" w:space="0"/>
              <w:left w:val="nil"/>
              <w:bottom w:val="single" w:color="auto" w:sz="4" w:space="0"/>
              <w:right w:val="single" w:color="auto" w:sz="4" w:space="0"/>
            </w:tcBorders>
            <w:shd w:val="clear" w:color="auto" w:fill="auto"/>
            <w:vAlign w:val="center"/>
          </w:tcPr>
          <w:p w14:paraId="27CE9244">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赋分标准</w:t>
            </w:r>
          </w:p>
        </w:tc>
        <w:tc>
          <w:tcPr>
            <w:tcW w:w="640" w:type="dxa"/>
            <w:tcBorders>
              <w:top w:val="single" w:color="auto" w:sz="4" w:space="0"/>
              <w:left w:val="nil"/>
              <w:bottom w:val="single" w:color="auto" w:sz="4" w:space="0"/>
              <w:right w:val="single" w:color="auto" w:sz="4" w:space="0"/>
            </w:tcBorders>
            <w:shd w:val="clear" w:color="auto" w:fill="auto"/>
            <w:vAlign w:val="center"/>
          </w:tcPr>
          <w:p w14:paraId="7949955F">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赋分</w:t>
            </w:r>
          </w:p>
          <w:p w14:paraId="71684908">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总分</w:t>
            </w:r>
          </w:p>
        </w:tc>
        <w:tc>
          <w:tcPr>
            <w:tcW w:w="863" w:type="dxa"/>
            <w:tcBorders>
              <w:top w:val="single" w:color="auto" w:sz="4" w:space="0"/>
              <w:left w:val="nil"/>
              <w:bottom w:val="single" w:color="auto" w:sz="4" w:space="0"/>
              <w:right w:val="single" w:color="auto" w:sz="4" w:space="0"/>
            </w:tcBorders>
            <w:shd w:val="clear" w:color="auto" w:fill="auto"/>
            <w:vAlign w:val="center"/>
          </w:tcPr>
          <w:p w14:paraId="120DB351">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自评得分项</w:t>
            </w:r>
          </w:p>
        </w:tc>
        <w:tc>
          <w:tcPr>
            <w:tcW w:w="756" w:type="dxa"/>
            <w:tcBorders>
              <w:top w:val="single" w:color="auto" w:sz="4" w:space="0"/>
              <w:left w:val="nil"/>
              <w:bottom w:val="single" w:color="auto" w:sz="4" w:space="0"/>
              <w:right w:val="single" w:color="auto" w:sz="4" w:space="0"/>
            </w:tcBorders>
            <w:shd w:val="clear" w:color="auto" w:fill="auto"/>
            <w:vAlign w:val="center"/>
          </w:tcPr>
          <w:p w14:paraId="4AAB8466">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自评</w:t>
            </w:r>
          </w:p>
          <w:p w14:paraId="5605D226">
            <w:pPr>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得分</w:t>
            </w:r>
          </w:p>
        </w:tc>
      </w:tr>
      <w:tr w14:paraId="1520C661">
        <w:tblPrEx>
          <w:tblCellMar>
            <w:top w:w="0" w:type="dxa"/>
            <w:left w:w="108" w:type="dxa"/>
            <w:bottom w:w="0" w:type="dxa"/>
            <w:right w:w="108" w:type="dxa"/>
          </w:tblCellMar>
        </w:tblPrEx>
        <w:trPr>
          <w:trHeight w:val="1349" w:hRule="atLeast"/>
          <w:jc w:val="center"/>
        </w:trPr>
        <w:tc>
          <w:tcPr>
            <w:tcW w:w="739" w:type="dxa"/>
            <w:vMerge w:val="restart"/>
            <w:tcBorders>
              <w:top w:val="nil"/>
              <w:left w:val="single" w:color="auto" w:sz="4" w:space="0"/>
              <w:right w:val="single" w:color="auto" w:sz="4" w:space="0"/>
            </w:tcBorders>
            <w:shd w:val="clear" w:color="auto" w:fill="auto"/>
            <w:vAlign w:val="center"/>
          </w:tcPr>
          <w:p w14:paraId="36019E8D">
            <w:pPr>
              <w:widowControl/>
              <w:spacing w:line="240" w:lineRule="exact"/>
              <w:jc w:val="center"/>
              <w:rPr>
                <w:rFonts w:ascii="楷体" w:hAnsi="楷体" w:eastAsia="楷体" w:cs="楷体"/>
                <w:b w:val="0"/>
                <w:color w:val="000000"/>
                <w:spacing w:val="0"/>
                <w:sz w:val="24"/>
                <w:szCs w:val="24"/>
              </w:rPr>
            </w:pPr>
            <w:r>
              <w:rPr>
                <w:rFonts w:hint="eastAsia" w:ascii="楷体" w:hAnsi="楷体" w:eastAsia="楷体" w:cs="楷体"/>
                <w:b w:val="0"/>
                <w:color w:val="000000"/>
                <w:spacing w:val="0"/>
                <w:sz w:val="24"/>
                <w:szCs w:val="24"/>
              </w:rPr>
              <w:t>评价项目</w:t>
            </w:r>
          </w:p>
        </w:tc>
        <w:tc>
          <w:tcPr>
            <w:tcW w:w="713" w:type="dxa"/>
            <w:vMerge w:val="restart"/>
            <w:tcBorders>
              <w:top w:val="nil"/>
              <w:left w:val="single" w:color="auto" w:sz="4" w:space="0"/>
              <w:bottom w:val="single" w:color="000000" w:sz="4" w:space="0"/>
              <w:right w:val="single" w:color="auto" w:sz="4" w:space="0"/>
            </w:tcBorders>
            <w:shd w:val="clear" w:color="auto" w:fill="auto"/>
            <w:vAlign w:val="center"/>
          </w:tcPr>
          <w:p w14:paraId="70867108">
            <w:pPr>
              <w:widowControl/>
              <w:spacing w:line="240" w:lineRule="exact"/>
              <w:jc w:val="center"/>
              <w:rPr>
                <w:rFonts w:ascii="楷体" w:hAnsi="楷体" w:eastAsia="楷体" w:cs="楷体"/>
                <w:b w:val="0"/>
                <w:color w:val="000000"/>
                <w:spacing w:val="0"/>
                <w:sz w:val="24"/>
                <w:szCs w:val="24"/>
              </w:rPr>
            </w:pPr>
            <w:r>
              <w:rPr>
                <w:rFonts w:hint="eastAsia" w:ascii="楷体" w:hAnsi="楷体" w:eastAsia="楷体" w:cs="楷体"/>
                <w:b w:val="0"/>
                <w:color w:val="000000"/>
                <w:spacing w:val="0"/>
                <w:sz w:val="24"/>
                <w:szCs w:val="24"/>
              </w:rPr>
              <w:t>专业层次</w:t>
            </w:r>
          </w:p>
        </w:tc>
        <w:tc>
          <w:tcPr>
            <w:tcW w:w="5377" w:type="dxa"/>
            <w:tcBorders>
              <w:top w:val="nil"/>
              <w:left w:val="nil"/>
              <w:bottom w:val="single" w:color="auto" w:sz="4" w:space="0"/>
              <w:right w:val="single" w:color="auto" w:sz="4" w:space="0"/>
            </w:tcBorders>
            <w:shd w:val="clear" w:color="auto" w:fill="auto"/>
            <w:vAlign w:val="center"/>
          </w:tcPr>
          <w:p w14:paraId="534A8F1A">
            <w:pPr>
              <w:widowControl/>
              <w:rPr>
                <w:rFonts w:asciiTheme="majorEastAsia" w:hAnsiTheme="majorEastAsia" w:eastAsiaTheme="majorEastAsia" w:cstheme="majorEastAsia"/>
                <w:b w:val="0"/>
                <w:color w:val="000000"/>
                <w:spacing w:val="-4"/>
                <w:sz w:val="18"/>
                <w:szCs w:val="18"/>
              </w:rPr>
            </w:pPr>
            <w:r>
              <w:rPr>
                <w:rFonts w:hint="eastAsia" w:asciiTheme="majorEastAsia" w:hAnsiTheme="majorEastAsia" w:eastAsiaTheme="majorEastAsia" w:cstheme="majorEastAsia"/>
                <w:bCs/>
                <w:color w:val="000000"/>
                <w:spacing w:val="-4"/>
                <w:sz w:val="18"/>
                <w:szCs w:val="18"/>
              </w:rPr>
              <w:t>本 科</w:t>
            </w:r>
            <w:r>
              <w:rPr>
                <w:rFonts w:hint="eastAsia" w:asciiTheme="majorEastAsia" w:hAnsiTheme="majorEastAsia" w:eastAsiaTheme="majorEastAsia" w:cstheme="majorEastAsia"/>
                <w:b w:val="0"/>
                <w:color w:val="000000"/>
                <w:spacing w:val="-4"/>
                <w:sz w:val="18"/>
                <w:szCs w:val="18"/>
              </w:rPr>
              <w:t>：清华大学、北京大学毕业者得30分；其他A类34所高校且一流学科者得28分；B类6所高校且一流学科者得26分；其他A类34所高校且非一流学科者得24分；非A类、B类高校且一流学科者得24分；B类6所高校且非一流学科者得22分。</w:t>
            </w:r>
          </w:p>
        </w:tc>
        <w:tc>
          <w:tcPr>
            <w:tcW w:w="640" w:type="dxa"/>
            <w:tcBorders>
              <w:top w:val="nil"/>
              <w:left w:val="nil"/>
              <w:bottom w:val="single" w:color="auto" w:sz="4" w:space="0"/>
              <w:right w:val="single" w:color="auto" w:sz="4" w:space="0"/>
            </w:tcBorders>
            <w:shd w:val="clear" w:color="auto" w:fill="auto"/>
            <w:vAlign w:val="center"/>
          </w:tcPr>
          <w:p w14:paraId="38436847">
            <w:pPr>
              <w:widowControl/>
              <w:spacing w:line="240" w:lineRule="exact"/>
              <w:jc w:val="center"/>
              <w:rPr>
                <w:rFonts w:asciiTheme="majorEastAsia" w:hAnsiTheme="majorEastAsia" w:eastAsiaTheme="majorEastAsia" w:cstheme="majorEastAsia"/>
                <w:b w:val="0"/>
                <w:color w:val="000000"/>
                <w:spacing w:val="0"/>
                <w:sz w:val="24"/>
                <w:szCs w:val="24"/>
              </w:rPr>
            </w:pPr>
            <w:r>
              <w:rPr>
                <w:rFonts w:hint="eastAsia" w:asciiTheme="majorEastAsia" w:hAnsiTheme="majorEastAsia" w:eastAsiaTheme="majorEastAsia" w:cstheme="majorEastAsia"/>
                <w:b w:val="0"/>
                <w:color w:val="000000"/>
                <w:spacing w:val="0"/>
                <w:sz w:val="24"/>
                <w:szCs w:val="24"/>
              </w:rPr>
              <w:t>30</w:t>
            </w:r>
          </w:p>
        </w:tc>
        <w:tc>
          <w:tcPr>
            <w:tcW w:w="863" w:type="dxa"/>
            <w:tcBorders>
              <w:top w:val="nil"/>
              <w:left w:val="nil"/>
              <w:bottom w:val="single" w:color="auto" w:sz="4" w:space="0"/>
              <w:right w:val="single" w:color="auto" w:sz="4" w:space="0"/>
            </w:tcBorders>
            <w:shd w:val="clear" w:color="auto" w:fill="auto"/>
            <w:vAlign w:val="center"/>
          </w:tcPr>
          <w:p w14:paraId="3BF6FC8C">
            <w:pPr>
              <w:widowControl/>
              <w:spacing w:line="240" w:lineRule="exact"/>
              <w:jc w:val="center"/>
              <w:rPr>
                <w:rFonts w:cs="宋体"/>
                <w:b w:val="0"/>
                <w:color w:val="FF0000"/>
                <w:spacing w:val="0"/>
                <w:sz w:val="21"/>
                <w:szCs w:val="21"/>
              </w:rPr>
            </w:pPr>
          </w:p>
        </w:tc>
        <w:tc>
          <w:tcPr>
            <w:tcW w:w="756" w:type="dxa"/>
            <w:tcBorders>
              <w:top w:val="nil"/>
              <w:left w:val="nil"/>
              <w:bottom w:val="single" w:color="auto" w:sz="4" w:space="0"/>
              <w:right w:val="single" w:color="auto" w:sz="4" w:space="0"/>
            </w:tcBorders>
            <w:shd w:val="clear" w:color="auto" w:fill="auto"/>
            <w:vAlign w:val="center"/>
          </w:tcPr>
          <w:p w14:paraId="6D924908">
            <w:pPr>
              <w:widowControl/>
              <w:spacing w:line="240" w:lineRule="exact"/>
              <w:jc w:val="center"/>
              <w:rPr>
                <w:rFonts w:cs="宋体"/>
                <w:b w:val="0"/>
                <w:color w:val="FF0000"/>
                <w:spacing w:val="0"/>
                <w:sz w:val="21"/>
                <w:szCs w:val="21"/>
              </w:rPr>
            </w:pPr>
          </w:p>
        </w:tc>
      </w:tr>
      <w:tr w14:paraId="630C96A6">
        <w:tblPrEx>
          <w:tblCellMar>
            <w:top w:w="0" w:type="dxa"/>
            <w:left w:w="108" w:type="dxa"/>
            <w:bottom w:w="0" w:type="dxa"/>
            <w:right w:w="108" w:type="dxa"/>
          </w:tblCellMar>
        </w:tblPrEx>
        <w:trPr>
          <w:trHeight w:val="2799" w:hRule="atLeast"/>
          <w:jc w:val="center"/>
        </w:trPr>
        <w:tc>
          <w:tcPr>
            <w:tcW w:w="739" w:type="dxa"/>
            <w:vMerge w:val="continue"/>
            <w:tcBorders>
              <w:left w:val="single" w:color="auto" w:sz="4" w:space="0"/>
              <w:right w:val="single" w:color="auto" w:sz="4" w:space="0"/>
            </w:tcBorders>
            <w:vAlign w:val="center"/>
          </w:tcPr>
          <w:p w14:paraId="400CA21B">
            <w:pPr>
              <w:widowControl/>
              <w:spacing w:line="240" w:lineRule="exact"/>
              <w:jc w:val="center"/>
              <w:rPr>
                <w:rFonts w:ascii="楷体" w:hAnsi="楷体" w:eastAsia="楷体" w:cs="楷体"/>
                <w:b w:val="0"/>
                <w:color w:val="000000"/>
                <w:spacing w:val="0"/>
                <w:sz w:val="24"/>
                <w:szCs w:val="24"/>
              </w:rPr>
            </w:pPr>
          </w:p>
        </w:tc>
        <w:tc>
          <w:tcPr>
            <w:tcW w:w="713" w:type="dxa"/>
            <w:vMerge w:val="continue"/>
            <w:tcBorders>
              <w:top w:val="nil"/>
              <w:left w:val="single" w:color="auto" w:sz="4" w:space="0"/>
              <w:bottom w:val="single" w:color="000000" w:sz="4" w:space="0"/>
              <w:right w:val="single" w:color="auto" w:sz="4" w:space="0"/>
            </w:tcBorders>
            <w:vAlign w:val="center"/>
          </w:tcPr>
          <w:p w14:paraId="3720A25B">
            <w:pPr>
              <w:widowControl/>
              <w:spacing w:line="240" w:lineRule="exact"/>
              <w:jc w:val="center"/>
              <w:rPr>
                <w:rFonts w:ascii="楷体" w:hAnsi="楷体" w:eastAsia="楷体" w:cs="楷体"/>
                <w:b w:val="0"/>
                <w:color w:val="000000"/>
                <w:spacing w:val="0"/>
                <w:sz w:val="24"/>
                <w:szCs w:val="24"/>
              </w:rPr>
            </w:pPr>
          </w:p>
        </w:tc>
        <w:tc>
          <w:tcPr>
            <w:tcW w:w="5377" w:type="dxa"/>
            <w:tcBorders>
              <w:top w:val="nil"/>
              <w:left w:val="nil"/>
              <w:bottom w:val="single" w:color="auto" w:sz="4" w:space="0"/>
              <w:right w:val="single" w:color="auto" w:sz="4" w:space="0"/>
            </w:tcBorders>
            <w:shd w:val="clear" w:color="auto" w:fill="auto"/>
            <w:vAlign w:val="center"/>
          </w:tcPr>
          <w:p w14:paraId="7D8ED32B">
            <w:pPr>
              <w:widowControl/>
              <w:rPr>
                <w:rFonts w:asciiTheme="majorEastAsia" w:hAnsiTheme="majorEastAsia" w:eastAsiaTheme="majorEastAsia" w:cstheme="majorEastAsia"/>
                <w:b w:val="0"/>
                <w:color w:val="000000"/>
                <w:spacing w:val="-4"/>
                <w:sz w:val="18"/>
                <w:szCs w:val="18"/>
              </w:rPr>
            </w:pPr>
            <w:r>
              <w:rPr>
                <w:rFonts w:hint="eastAsia" w:asciiTheme="majorEastAsia" w:hAnsiTheme="majorEastAsia" w:eastAsiaTheme="majorEastAsia" w:cstheme="majorEastAsia"/>
                <w:bCs/>
                <w:color w:val="000000"/>
                <w:spacing w:val="-4"/>
                <w:sz w:val="18"/>
                <w:szCs w:val="18"/>
              </w:rPr>
              <w:t>研究生</w:t>
            </w:r>
            <w:r>
              <w:rPr>
                <w:rFonts w:hint="eastAsia" w:asciiTheme="majorEastAsia" w:hAnsiTheme="majorEastAsia" w:eastAsiaTheme="majorEastAsia" w:cstheme="majorEastAsia"/>
                <w:b w:val="0"/>
                <w:color w:val="000000"/>
                <w:spacing w:val="-4"/>
                <w:sz w:val="18"/>
                <w:szCs w:val="18"/>
              </w:rPr>
              <w:t>：</w:t>
            </w:r>
          </w:p>
          <w:p w14:paraId="240CD272">
            <w:pPr>
              <w:widowControl/>
              <w:rPr>
                <w:rFonts w:asciiTheme="majorEastAsia" w:hAnsiTheme="majorEastAsia" w:eastAsiaTheme="majorEastAsia" w:cstheme="majorEastAsia"/>
                <w:b w:val="0"/>
                <w:color w:val="000000"/>
                <w:spacing w:val="-4"/>
                <w:sz w:val="18"/>
                <w:szCs w:val="18"/>
              </w:rPr>
            </w:pPr>
            <w:r>
              <w:rPr>
                <w:rFonts w:hint="eastAsia" w:asciiTheme="majorEastAsia" w:hAnsiTheme="majorEastAsia" w:eastAsiaTheme="majorEastAsia" w:cstheme="majorEastAsia"/>
                <w:color w:val="000000"/>
                <w:spacing w:val="-4"/>
                <w:sz w:val="18"/>
                <w:szCs w:val="18"/>
              </w:rPr>
              <w:t>国 内</w:t>
            </w:r>
            <w:r>
              <w:rPr>
                <w:rFonts w:hint="eastAsia" w:asciiTheme="majorEastAsia" w:hAnsiTheme="majorEastAsia" w:eastAsiaTheme="majorEastAsia" w:cstheme="majorEastAsia"/>
                <w:b w:val="0"/>
                <w:color w:val="000000"/>
                <w:spacing w:val="-4"/>
                <w:sz w:val="18"/>
                <w:szCs w:val="18"/>
              </w:rPr>
              <w:t>：清华大学、北京大学毕业者得30分；其他A类34所高校且一流学科者得28分；B类6所高校且一流学科者得26分；其他A类34所高校且非一流学科者得24分；非A类、B类高校且一流学科者得24分；B类6所高校且非一流学科者得22分。</w:t>
            </w:r>
          </w:p>
          <w:p w14:paraId="1495936B">
            <w:pPr>
              <w:widowControl/>
              <w:rPr>
                <w:rFonts w:asciiTheme="majorEastAsia" w:hAnsiTheme="majorEastAsia" w:eastAsiaTheme="majorEastAsia" w:cstheme="majorEastAsia"/>
                <w:b w:val="0"/>
                <w:color w:val="000000"/>
                <w:spacing w:val="-4"/>
                <w:sz w:val="18"/>
                <w:szCs w:val="18"/>
              </w:rPr>
            </w:pPr>
            <w:r>
              <w:rPr>
                <w:rFonts w:hint="eastAsia" w:asciiTheme="majorEastAsia" w:hAnsiTheme="majorEastAsia" w:eastAsiaTheme="majorEastAsia" w:cstheme="majorEastAsia"/>
                <w:color w:val="000000"/>
                <w:spacing w:val="-4"/>
                <w:sz w:val="18"/>
                <w:szCs w:val="18"/>
              </w:rPr>
              <w:t>海 外</w:t>
            </w:r>
            <w:r>
              <w:rPr>
                <w:rFonts w:hint="eastAsia" w:asciiTheme="majorEastAsia" w:hAnsiTheme="majorEastAsia" w:eastAsiaTheme="majorEastAsia" w:cstheme="majorEastAsia"/>
                <w:b w:val="0"/>
                <w:color w:val="000000"/>
                <w:spacing w:val="-4"/>
                <w:sz w:val="18"/>
                <w:szCs w:val="18"/>
              </w:rPr>
              <w:t>：</w:t>
            </w:r>
          </w:p>
          <w:p w14:paraId="41ACC12A">
            <w:pPr>
              <w:widowControl/>
              <w:rPr>
                <w:rFonts w:asciiTheme="majorEastAsia" w:hAnsiTheme="majorEastAsia" w:eastAsiaTheme="majorEastAsia" w:cstheme="majorEastAsia"/>
                <w:b w:val="0"/>
                <w:color w:val="000000"/>
                <w:spacing w:val="-4"/>
                <w:sz w:val="18"/>
                <w:szCs w:val="18"/>
              </w:rPr>
            </w:pPr>
            <w:r>
              <w:rPr>
                <w:rFonts w:hint="eastAsia" w:asciiTheme="majorEastAsia" w:hAnsiTheme="majorEastAsia" w:eastAsiaTheme="majorEastAsia" w:cstheme="majorEastAsia"/>
                <w:b w:val="0"/>
                <w:color w:val="000000"/>
                <w:spacing w:val="-4"/>
                <w:sz w:val="18"/>
                <w:szCs w:val="18"/>
              </w:rPr>
              <w:t>世界综合排名高校1-10名的，得30分；世界综合排名高校11-50名的，得28分；世界综合排名高校51-100名的得26分；世界综合排名高校101-200名的，得24分。</w:t>
            </w:r>
          </w:p>
        </w:tc>
        <w:tc>
          <w:tcPr>
            <w:tcW w:w="640" w:type="dxa"/>
            <w:tcBorders>
              <w:top w:val="nil"/>
              <w:left w:val="nil"/>
              <w:bottom w:val="single" w:color="auto" w:sz="4" w:space="0"/>
              <w:right w:val="single" w:color="auto" w:sz="4" w:space="0"/>
            </w:tcBorders>
            <w:shd w:val="clear" w:color="auto" w:fill="auto"/>
            <w:vAlign w:val="center"/>
          </w:tcPr>
          <w:p w14:paraId="28EAFBC3">
            <w:pPr>
              <w:widowControl/>
              <w:spacing w:line="240" w:lineRule="exact"/>
              <w:jc w:val="center"/>
              <w:rPr>
                <w:rFonts w:asciiTheme="majorEastAsia" w:hAnsiTheme="majorEastAsia" w:eastAsiaTheme="majorEastAsia" w:cstheme="majorEastAsia"/>
                <w:b w:val="0"/>
                <w:color w:val="000000"/>
                <w:spacing w:val="0"/>
                <w:sz w:val="24"/>
                <w:szCs w:val="24"/>
              </w:rPr>
            </w:pPr>
            <w:r>
              <w:rPr>
                <w:rFonts w:hint="eastAsia" w:asciiTheme="majorEastAsia" w:hAnsiTheme="majorEastAsia" w:eastAsiaTheme="majorEastAsia" w:cstheme="majorEastAsia"/>
                <w:b w:val="0"/>
                <w:color w:val="000000"/>
                <w:spacing w:val="0"/>
                <w:sz w:val="24"/>
                <w:szCs w:val="24"/>
              </w:rPr>
              <w:t>30</w:t>
            </w:r>
          </w:p>
        </w:tc>
        <w:tc>
          <w:tcPr>
            <w:tcW w:w="863" w:type="dxa"/>
            <w:tcBorders>
              <w:top w:val="nil"/>
              <w:left w:val="nil"/>
              <w:bottom w:val="single" w:color="auto" w:sz="4" w:space="0"/>
              <w:right w:val="single" w:color="auto" w:sz="4" w:space="0"/>
            </w:tcBorders>
            <w:shd w:val="clear" w:color="auto" w:fill="auto"/>
            <w:vAlign w:val="center"/>
          </w:tcPr>
          <w:p w14:paraId="6AEFC871">
            <w:pPr>
              <w:widowControl/>
              <w:spacing w:line="240" w:lineRule="exact"/>
              <w:jc w:val="center"/>
              <w:rPr>
                <w:rFonts w:cs="宋体"/>
                <w:b w:val="0"/>
                <w:color w:val="FF0000"/>
                <w:spacing w:val="0"/>
                <w:sz w:val="21"/>
                <w:szCs w:val="21"/>
              </w:rPr>
            </w:pPr>
          </w:p>
        </w:tc>
        <w:tc>
          <w:tcPr>
            <w:tcW w:w="756" w:type="dxa"/>
            <w:tcBorders>
              <w:top w:val="nil"/>
              <w:left w:val="nil"/>
              <w:bottom w:val="single" w:color="auto" w:sz="4" w:space="0"/>
              <w:right w:val="single" w:color="auto" w:sz="4" w:space="0"/>
            </w:tcBorders>
            <w:shd w:val="clear" w:color="auto" w:fill="auto"/>
            <w:vAlign w:val="center"/>
          </w:tcPr>
          <w:p w14:paraId="63A8AEC4">
            <w:pPr>
              <w:widowControl/>
              <w:spacing w:line="240" w:lineRule="exact"/>
              <w:jc w:val="center"/>
              <w:rPr>
                <w:rFonts w:cs="宋体"/>
                <w:b w:val="0"/>
                <w:color w:val="FF0000"/>
                <w:spacing w:val="0"/>
                <w:sz w:val="21"/>
                <w:szCs w:val="21"/>
              </w:rPr>
            </w:pPr>
          </w:p>
        </w:tc>
      </w:tr>
      <w:tr w14:paraId="6DA0B525">
        <w:tblPrEx>
          <w:tblCellMar>
            <w:top w:w="0" w:type="dxa"/>
            <w:left w:w="108" w:type="dxa"/>
            <w:bottom w:w="0" w:type="dxa"/>
            <w:right w:w="108" w:type="dxa"/>
          </w:tblCellMar>
        </w:tblPrEx>
        <w:trPr>
          <w:trHeight w:val="3566" w:hRule="atLeast"/>
          <w:jc w:val="center"/>
        </w:trPr>
        <w:tc>
          <w:tcPr>
            <w:tcW w:w="739" w:type="dxa"/>
            <w:vMerge w:val="continue"/>
            <w:tcBorders>
              <w:left w:val="single" w:color="auto" w:sz="4" w:space="0"/>
              <w:right w:val="single" w:color="auto" w:sz="4" w:space="0"/>
            </w:tcBorders>
            <w:vAlign w:val="center"/>
          </w:tcPr>
          <w:p w14:paraId="4EB3FFAC">
            <w:pPr>
              <w:widowControl/>
              <w:spacing w:line="240" w:lineRule="exact"/>
              <w:jc w:val="center"/>
              <w:rPr>
                <w:rFonts w:ascii="楷体" w:hAnsi="楷体" w:eastAsia="楷体" w:cs="楷体"/>
                <w:b w:val="0"/>
                <w:color w:val="000000"/>
                <w:spacing w:val="0"/>
                <w:sz w:val="24"/>
                <w:szCs w:val="24"/>
              </w:rPr>
            </w:pPr>
          </w:p>
        </w:tc>
        <w:tc>
          <w:tcPr>
            <w:tcW w:w="713" w:type="dxa"/>
            <w:tcBorders>
              <w:top w:val="single" w:color="auto" w:sz="4" w:space="0"/>
              <w:left w:val="nil"/>
              <w:bottom w:val="single" w:color="auto" w:sz="4" w:space="0"/>
              <w:right w:val="single" w:color="auto" w:sz="4" w:space="0"/>
            </w:tcBorders>
            <w:shd w:val="clear" w:color="auto" w:fill="auto"/>
            <w:vAlign w:val="center"/>
          </w:tcPr>
          <w:p w14:paraId="1E39B33B">
            <w:pPr>
              <w:widowControl/>
              <w:spacing w:line="240" w:lineRule="exact"/>
              <w:jc w:val="center"/>
              <w:rPr>
                <w:rFonts w:ascii="楷体" w:hAnsi="楷体" w:eastAsia="楷体" w:cs="楷体"/>
                <w:b w:val="0"/>
                <w:color w:val="000000"/>
                <w:spacing w:val="0"/>
                <w:sz w:val="24"/>
                <w:szCs w:val="24"/>
              </w:rPr>
            </w:pPr>
            <w:r>
              <w:rPr>
                <w:rFonts w:hint="eastAsia" w:ascii="楷体" w:hAnsi="楷体" w:eastAsia="楷体" w:cs="楷体"/>
                <w:b w:val="0"/>
                <w:color w:val="000000"/>
                <w:spacing w:val="0"/>
                <w:sz w:val="24"/>
                <w:szCs w:val="24"/>
              </w:rPr>
              <w:t>科研成果</w:t>
            </w:r>
          </w:p>
        </w:tc>
        <w:tc>
          <w:tcPr>
            <w:tcW w:w="5377" w:type="dxa"/>
            <w:tcBorders>
              <w:top w:val="single" w:color="auto" w:sz="4" w:space="0"/>
              <w:left w:val="nil"/>
              <w:bottom w:val="single" w:color="auto" w:sz="4" w:space="0"/>
              <w:right w:val="single" w:color="auto" w:sz="4" w:space="0"/>
            </w:tcBorders>
            <w:shd w:val="clear" w:color="auto" w:fill="auto"/>
            <w:vAlign w:val="center"/>
          </w:tcPr>
          <w:p w14:paraId="25B324E0">
            <w:pPr>
              <w:widowControl/>
              <w:rPr>
                <w:rFonts w:asciiTheme="majorEastAsia" w:hAnsiTheme="majorEastAsia" w:eastAsiaTheme="majorEastAsia" w:cstheme="majorEastAsia"/>
                <w:b w:val="0"/>
                <w:spacing w:val="-4"/>
                <w:sz w:val="18"/>
                <w:szCs w:val="18"/>
              </w:rPr>
            </w:pPr>
            <w:r>
              <w:rPr>
                <w:rFonts w:hint="eastAsia" w:asciiTheme="majorEastAsia" w:hAnsiTheme="majorEastAsia" w:eastAsiaTheme="majorEastAsia" w:cstheme="majorEastAsia"/>
                <w:b w:val="0"/>
                <w:spacing w:val="-4"/>
                <w:sz w:val="18"/>
                <w:szCs w:val="18"/>
              </w:rPr>
              <w:t>1. SCI、SSCI一区检索的本学科学术期刊论文，每篇得15分（第一作者，不含并列第一作者）；</w:t>
            </w:r>
          </w:p>
          <w:p w14:paraId="13BB0E5D">
            <w:pPr>
              <w:widowControl/>
              <w:rPr>
                <w:rFonts w:asciiTheme="majorEastAsia" w:hAnsiTheme="majorEastAsia" w:eastAsiaTheme="majorEastAsia" w:cstheme="majorEastAsia"/>
                <w:b w:val="0"/>
                <w:spacing w:val="-4"/>
                <w:sz w:val="18"/>
                <w:szCs w:val="18"/>
              </w:rPr>
            </w:pPr>
            <w:r>
              <w:rPr>
                <w:rFonts w:hint="eastAsia" w:asciiTheme="majorEastAsia" w:hAnsiTheme="majorEastAsia" w:eastAsiaTheme="majorEastAsia" w:cstheme="majorEastAsia"/>
                <w:b w:val="0"/>
                <w:spacing w:val="-4"/>
                <w:sz w:val="18"/>
                <w:szCs w:val="18"/>
              </w:rPr>
              <w:t>2. SCI、SSCI一区检索（并列第一作者）或SCI、SSCI二区检索的本学科学术期刊论文（第一作者，不含并列第一作者），每篇得10分；</w:t>
            </w:r>
          </w:p>
          <w:p w14:paraId="15873F48">
            <w:pPr>
              <w:widowControl/>
              <w:rPr>
                <w:rFonts w:asciiTheme="majorEastAsia" w:hAnsiTheme="majorEastAsia" w:eastAsiaTheme="majorEastAsia" w:cstheme="majorEastAsia"/>
                <w:b w:val="0"/>
                <w:spacing w:val="-4"/>
                <w:sz w:val="18"/>
                <w:szCs w:val="18"/>
              </w:rPr>
            </w:pPr>
            <w:r>
              <w:rPr>
                <w:rFonts w:hint="eastAsia" w:asciiTheme="majorEastAsia" w:hAnsiTheme="majorEastAsia" w:eastAsiaTheme="majorEastAsia" w:cstheme="majorEastAsia"/>
                <w:b w:val="0"/>
                <w:spacing w:val="-4"/>
                <w:sz w:val="18"/>
                <w:szCs w:val="18"/>
              </w:rPr>
              <w:t>3. SCI、SSCI二区检索（并列第一作者）或SCI、SSCI三区检索的本学科学术期刊论文（第一作者，不含并列第一作者），每篇得5分；</w:t>
            </w:r>
          </w:p>
          <w:p w14:paraId="39405C36">
            <w:pPr>
              <w:widowControl/>
              <w:rPr>
                <w:rFonts w:hint="eastAsia" w:asciiTheme="majorEastAsia" w:hAnsiTheme="majorEastAsia" w:eastAsiaTheme="majorEastAsia" w:cstheme="majorEastAsia"/>
                <w:b/>
                <w:bCs/>
                <w:spacing w:val="-4"/>
                <w:sz w:val="18"/>
                <w:szCs w:val="18"/>
              </w:rPr>
            </w:pPr>
            <w:r>
              <w:rPr>
                <w:rFonts w:hint="eastAsia" w:asciiTheme="majorEastAsia" w:hAnsiTheme="majorEastAsia" w:eastAsiaTheme="majorEastAsia" w:cstheme="majorEastAsia"/>
                <w:b w:val="0"/>
                <w:spacing w:val="-4"/>
                <w:sz w:val="18"/>
                <w:szCs w:val="18"/>
              </w:rPr>
              <w:t>4. SCI、SSCI三区检索（并列第一作者）或SCI、SSCI四区检索（第一作者，不含并列第一作者）或EI检索的本学科学术期刊论文（第一作者，不含并列第一作者），每篇得2分。</w:t>
            </w:r>
            <w:r>
              <w:rPr>
                <w:rFonts w:hint="eastAsia" w:asciiTheme="majorEastAsia" w:hAnsiTheme="majorEastAsia" w:eastAsiaTheme="majorEastAsia" w:cstheme="majorEastAsia"/>
                <w:b/>
                <w:bCs/>
                <w:spacing w:val="-4"/>
                <w:sz w:val="18"/>
                <w:szCs w:val="18"/>
              </w:rPr>
              <w:t>SCI、SSCI分区以中科院年度分区为准。</w:t>
            </w:r>
          </w:p>
          <w:p w14:paraId="6F720979">
            <w:pPr>
              <w:widowControl/>
              <w:rPr>
                <w:rFonts w:asciiTheme="majorEastAsia" w:hAnsiTheme="majorEastAsia" w:eastAsiaTheme="majorEastAsia" w:cstheme="majorEastAsia"/>
                <w:b w:val="0"/>
                <w:spacing w:val="-4"/>
                <w:sz w:val="18"/>
                <w:szCs w:val="18"/>
              </w:rPr>
            </w:pPr>
            <w:r>
              <w:rPr>
                <w:rFonts w:hint="eastAsia" w:asciiTheme="majorEastAsia" w:hAnsiTheme="majorEastAsia" w:eastAsiaTheme="majorEastAsia" w:cstheme="majorEastAsia"/>
                <w:b w:val="0"/>
                <w:spacing w:val="-4"/>
                <w:sz w:val="18"/>
                <w:szCs w:val="18"/>
              </w:rPr>
              <w:t>5.作为第一发明人发表发明专利，每项得10分。各项累加不超过20分。</w:t>
            </w:r>
          </w:p>
        </w:tc>
        <w:tc>
          <w:tcPr>
            <w:tcW w:w="640" w:type="dxa"/>
            <w:tcBorders>
              <w:top w:val="single" w:color="auto" w:sz="4" w:space="0"/>
              <w:left w:val="nil"/>
              <w:bottom w:val="single" w:color="auto" w:sz="4" w:space="0"/>
              <w:right w:val="single" w:color="auto" w:sz="4" w:space="0"/>
            </w:tcBorders>
            <w:shd w:val="clear" w:color="auto" w:fill="auto"/>
            <w:vAlign w:val="center"/>
          </w:tcPr>
          <w:p w14:paraId="4751F492">
            <w:pPr>
              <w:widowControl/>
              <w:spacing w:line="240" w:lineRule="exact"/>
              <w:jc w:val="center"/>
              <w:rPr>
                <w:rFonts w:asciiTheme="majorEastAsia" w:hAnsiTheme="majorEastAsia" w:eastAsiaTheme="majorEastAsia" w:cstheme="majorEastAsia"/>
                <w:b w:val="0"/>
                <w:spacing w:val="0"/>
                <w:sz w:val="24"/>
                <w:szCs w:val="24"/>
              </w:rPr>
            </w:pPr>
            <w:r>
              <w:rPr>
                <w:rFonts w:hint="eastAsia" w:asciiTheme="majorEastAsia" w:hAnsiTheme="majorEastAsia" w:eastAsiaTheme="majorEastAsia" w:cstheme="majorEastAsia"/>
                <w:b w:val="0"/>
                <w:spacing w:val="0"/>
                <w:sz w:val="24"/>
                <w:szCs w:val="24"/>
              </w:rPr>
              <w:t>20</w:t>
            </w:r>
          </w:p>
        </w:tc>
        <w:tc>
          <w:tcPr>
            <w:tcW w:w="863" w:type="dxa"/>
            <w:tcBorders>
              <w:top w:val="single" w:color="auto" w:sz="4" w:space="0"/>
              <w:left w:val="nil"/>
              <w:bottom w:val="single" w:color="auto" w:sz="4" w:space="0"/>
              <w:right w:val="single" w:color="auto" w:sz="4" w:space="0"/>
            </w:tcBorders>
            <w:shd w:val="clear" w:color="auto" w:fill="auto"/>
            <w:vAlign w:val="center"/>
          </w:tcPr>
          <w:p w14:paraId="22035F19">
            <w:pPr>
              <w:widowControl/>
              <w:spacing w:line="240" w:lineRule="exact"/>
              <w:jc w:val="center"/>
              <w:rPr>
                <w:rFonts w:cs="宋体"/>
                <w:b w:val="0"/>
                <w:color w:val="FF0000"/>
                <w:spacing w:val="0"/>
                <w:sz w:val="21"/>
                <w:szCs w:val="21"/>
              </w:rPr>
            </w:pPr>
          </w:p>
        </w:tc>
        <w:tc>
          <w:tcPr>
            <w:tcW w:w="756" w:type="dxa"/>
            <w:tcBorders>
              <w:top w:val="single" w:color="auto" w:sz="4" w:space="0"/>
              <w:left w:val="nil"/>
              <w:bottom w:val="single" w:color="auto" w:sz="4" w:space="0"/>
              <w:right w:val="single" w:color="auto" w:sz="4" w:space="0"/>
            </w:tcBorders>
            <w:shd w:val="clear" w:color="auto" w:fill="auto"/>
            <w:vAlign w:val="center"/>
          </w:tcPr>
          <w:p w14:paraId="5E89916B">
            <w:pPr>
              <w:widowControl/>
              <w:spacing w:line="240" w:lineRule="exact"/>
              <w:jc w:val="center"/>
              <w:rPr>
                <w:rFonts w:cs="宋体"/>
                <w:b w:val="0"/>
                <w:color w:val="FF0000"/>
                <w:spacing w:val="0"/>
                <w:sz w:val="21"/>
                <w:szCs w:val="21"/>
              </w:rPr>
            </w:pPr>
          </w:p>
        </w:tc>
      </w:tr>
      <w:tr w14:paraId="1BF89A7E">
        <w:tblPrEx>
          <w:tblCellMar>
            <w:top w:w="0" w:type="dxa"/>
            <w:left w:w="108" w:type="dxa"/>
            <w:bottom w:w="0" w:type="dxa"/>
            <w:right w:w="108" w:type="dxa"/>
          </w:tblCellMar>
        </w:tblPrEx>
        <w:trPr>
          <w:trHeight w:val="1386" w:hRule="atLeast"/>
          <w:jc w:val="center"/>
        </w:trPr>
        <w:tc>
          <w:tcPr>
            <w:tcW w:w="739" w:type="dxa"/>
            <w:vMerge w:val="continue"/>
            <w:tcBorders>
              <w:left w:val="single" w:color="auto" w:sz="4" w:space="0"/>
              <w:right w:val="single" w:color="auto" w:sz="4" w:space="0"/>
            </w:tcBorders>
            <w:vAlign w:val="center"/>
          </w:tcPr>
          <w:p w14:paraId="4B2C9DE0">
            <w:pPr>
              <w:widowControl/>
              <w:spacing w:line="240" w:lineRule="exact"/>
              <w:jc w:val="center"/>
              <w:rPr>
                <w:rFonts w:ascii="楷体" w:hAnsi="楷体" w:eastAsia="楷体" w:cs="楷体"/>
                <w:b w:val="0"/>
                <w:color w:val="000000"/>
                <w:spacing w:val="0"/>
                <w:sz w:val="24"/>
                <w:szCs w:val="24"/>
              </w:rPr>
            </w:pPr>
          </w:p>
        </w:tc>
        <w:tc>
          <w:tcPr>
            <w:tcW w:w="713" w:type="dxa"/>
            <w:tcBorders>
              <w:top w:val="nil"/>
              <w:left w:val="nil"/>
              <w:bottom w:val="single" w:color="auto" w:sz="4" w:space="0"/>
              <w:right w:val="single" w:color="auto" w:sz="4" w:space="0"/>
            </w:tcBorders>
            <w:shd w:val="clear" w:color="auto" w:fill="auto"/>
            <w:vAlign w:val="center"/>
          </w:tcPr>
          <w:p w14:paraId="18B38541">
            <w:pPr>
              <w:widowControl/>
              <w:spacing w:line="240" w:lineRule="exact"/>
              <w:jc w:val="center"/>
              <w:rPr>
                <w:rFonts w:ascii="楷体" w:hAnsi="楷体" w:eastAsia="楷体" w:cs="楷体"/>
                <w:b w:val="0"/>
                <w:color w:val="000000"/>
                <w:spacing w:val="0"/>
                <w:sz w:val="24"/>
                <w:szCs w:val="24"/>
              </w:rPr>
            </w:pPr>
            <w:r>
              <w:rPr>
                <w:rFonts w:hint="eastAsia" w:ascii="楷体" w:hAnsi="楷体" w:eastAsia="楷体" w:cs="楷体"/>
                <w:b w:val="0"/>
                <w:color w:val="000000"/>
                <w:spacing w:val="0"/>
                <w:sz w:val="24"/>
                <w:szCs w:val="24"/>
              </w:rPr>
              <w:t>职业资格</w:t>
            </w:r>
          </w:p>
        </w:tc>
        <w:tc>
          <w:tcPr>
            <w:tcW w:w="5377" w:type="dxa"/>
            <w:tcBorders>
              <w:top w:val="nil"/>
              <w:left w:val="nil"/>
              <w:bottom w:val="single" w:color="auto" w:sz="4" w:space="0"/>
              <w:right w:val="single" w:color="auto" w:sz="4" w:space="0"/>
            </w:tcBorders>
            <w:shd w:val="clear" w:color="auto" w:fill="auto"/>
            <w:vAlign w:val="center"/>
          </w:tcPr>
          <w:p w14:paraId="743F5483">
            <w:pPr>
              <w:widowControl/>
              <w:spacing w:line="120" w:lineRule="auto"/>
              <w:rPr>
                <w:rFonts w:asciiTheme="majorEastAsia" w:hAnsiTheme="majorEastAsia" w:eastAsiaTheme="majorEastAsia" w:cstheme="majorEastAsia"/>
                <w:b w:val="0"/>
                <w:color w:val="000000"/>
                <w:spacing w:val="-4"/>
                <w:sz w:val="18"/>
                <w:szCs w:val="18"/>
              </w:rPr>
            </w:pPr>
            <w:r>
              <w:rPr>
                <w:rFonts w:hint="eastAsia" w:asciiTheme="majorEastAsia" w:hAnsiTheme="majorEastAsia" w:eastAsiaTheme="majorEastAsia" w:cstheme="majorEastAsia"/>
                <w:b w:val="0"/>
                <w:color w:val="000000"/>
                <w:spacing w:val="0"/>
                <w:sz w:val="18"/>
                <w:szCs w:val="18"/>
              </w:rPr>
              <w:t>取得副高级及以上水平评价类专业技术人员职业资格</w:t>
            </w:r>
            <w:r>
              <w:rPr>
                <w:rFonts w:hint="eastAsia" w:asciiTheme="majorEastAsia" w:hAnsiTheme="majorEastAsia" w:eastAsiaTheme="majorEastAsia" w:cstheme="majorEastAsia"/>
                <w:b w:val="0"/>
                <w:color w:val="000000"/>
                <w:spacing w:val="-4"/>
                <w:sz w:val="18"/>
                <w:szCs w:val="18"/>
              </w:rPr>
              <w:t>的得7分，</w:t>
            </w:r>
            <w:r>
              <w:rPr>
                <w:rFonts w:hint="eastAsia" w:asciiTheme="majorEastAsia" w:hAnsiTheme="majorEastAsia" w:eastAsiaTheme="majorEastAsia" w:cstheme="majorEastAsia"/>
                <w:b w:val="0"/>
                <w:color w:val="000000"/>
                <w:spacing w:val="0"/>
                <w:sz w:val="18"/>
                <w:szCs w:val="18"/>
              </w:rPr>
              <w:t>取得可对应至中级职称的专业技术人员职业资格得5分，在可按照级别划分的准入类专业技术人员职业资格中取得最高级别职业资格的得5分，</w:t>
            </w:r>
            <w:r>
              <w:rPr>
                <w:rFonts w:hint="eastAsia" w:asciiTheme="majorEastAsia" w:hAnsiTheme="majorEastAsia" w:eastAsiaTheme="majorEastAsia" w:cstheme="majorEastAsia"/>
                <w:b w:val="0"/>
                <w:color w:val="000000"/>
                <w:spacing w:val="-4"/>
                <w:sz w:val="18"/>
                <w:szCs w:val="18"/>
              </w:rPr>
              <w:t>各项累加不超过10分。</w:t>
            </w:r>
          </w:p>
        </w:tc>
        <w:tc>
          <w:tcPr>
            <w:tcW w:w="640" w:type="dxa"/>
            <w:tcBorders>
              <w:top w:val="nil"/>
              <w:left w:val="nil"/>
              <w:bottom w:val="single" w:color="auto" w:sz="4" w:space="0"/>
              <w:right w:val="single" w:color="auto" w:sz="4" w:space="0"/>
            </w:tcBorders>
            <w:shd w:val="clear" w:color="auto" w:fill="auto"/>
            <w:vAlign w:val="center"/>
          </w:tcPr>
          <w:p w14:paraId="106BBF8D">
            <w:pPr>
              <w:widowControl/>
              <w:spacing w:line="240" w:lineRule="exact"/>
              <w:jc w:val="center"/>
              <w:rPr>
                <w:rFonts w:asciiTheme="majorEastAsia" w:hAnsiTheme="majorEastAsia" w:eastAsiaTheme="majorEastAsia" w:cstheme="majorEastAsia"/>
                <w:b w:val="0"/>
                <w:color w:val="000000"/>
                <w:spacing w:val="0"/>
                <w:sz w:val="24"/>
                <w:szCs w:val="24"/>
              </w:rPr>
            </w:pPr>
            <w:r>
              <w:rPr>
                <w:rFonts w:hint="eastAsia" w:asciiTheme="majorEastAsia" w:hAnsiTheme="majorEastAsia" w:eastAsiaTheme="majorEastAsia" w:cstheme="majorEastAsia"/>
                <w:b w:val="0"/>
                <w:color w:val="000000"/>
                <w:spacing w:val="0"/>
                <w:sz w:val="24"/>
                <w:szCs w:val="24"/>
              </w:rPr>
              <w:t>10</w:t>
            </w:r>
          </w:p>
        </w:tc>
        <w:tc>
          <w:tcPr>
            <w:tcW w:w="863" w:type="dxa"/>
            <w:tcBorders>
              <w:top w:val="nil"/>
              <w:left w:val="nil"/>
              <w:bottom w:val="single" w:color="auto" w:sz="4" w:space="0"/>
              <w:right w:val="single" w:color="auto" w:sz="4" w:space="0"/>
            </w:tcBorders>
            <w:shd w:val="clear" w:color="auto" w:fill="auto"/>
            <w:vAlign w:val="center"/>
          </w:tcPr>
          <w:p w14:paraId="4E69E163">
            <w:pPr>
              <w:widowControl/>
              <w:spacing w:line="240" w:lineRule="exact"/>
              <w:jc w:val="center"/>
              <w:rPr>
                <w:rFonts w:cs="宋体"/>
                <w:b w:val="0"/>
                <w:color w:val="FF0000"/>
                <w:spacing w:val="0"/>
                <w:sz w:val="21"/>
                <w:szCs w:val="21"/>
              </w:rPr>
            </w:pPr>
          </w:p>
        </w:tc>
        <w:tc>
          <w:tcPr>
            <w:tcW w:w="756" w:type="dxa"/>
            <w:tcBorders>
              <w:top w:val="nil"/>
              <w:left w:val="nil"/>
              <w:bottom w:val="single" w:color="auto" w:sz="4" w:space="0"/>
              <w:right w:val="single" w:color="auto" w:sz="4" w:space="0"/>
            </w:tcBorders>
            <w:shd w:val="clear" w:color="auto" w:fill="auto"/>
            <w:vAlign w:val="center"/>
          </w:tcPr>
          <w:p w14:paraId="1D19D588">
            <w:pPr>
              <w:widowControl/>
              <w:spacing w:line="240" w:lineRule="exact"/>
              <w:jc w:val="center"/>
              <w:rPr>
                <w:rFonts w:cs="宋体"/>
                <w:b w:val="0"/>
                <w:color w:val="FF0000"/>
                <w:spacing w:val="0"/>
                <w:sz w:val="21"/>
                <w:szCs w:val="21"/>
              </w:rPr>
            </w:pPr>
          </w:p>
        </w:tc>
      </w:tr>
      <w:tr w14:paraId="0484A890">
        <w:tblPrEx>
          <w:tblCellMar>
            <w:top w:w="0" w:type="dxa"/>
            <w:left w:w="108" w:type="dxa"/>
            <w:bottom w:w="0" w:type="dxa"/>
            <w:right w:w="108" w:type="dxa"/>
          </w:tblCellMar>
        </w:tblPrEx>
        <w:trPr>
          <w:trHeight w:val="851" w:hRule="atLeast"/>
          <w:jc w:val="center"/>
        </w:trPr>
        <w:tc>
          <w:tcPr>
            <w:tcW w:w="739" w:type="dxa"/>
            <w:vMerge w:val="continue"/>
            <w:tcBorders>
              <w:left w:val="single" w:color="auto" w:sz="4" w:space="0"/>
              <w:right w:val="single" w:color="auto" w:sz="4" w:space="0"/>
            </w:tcBorders>
            <w:vAlign w:val="center"/>
          </w:tcPr>
          <w:p w14:paraId="6F11E067">
            <w:pPr>
              <w:widowControl/>
              <w:spacing w:line="240" w:lineRule="exact"/>
              <w:jc w:val="center"/>
              <w:rPr>
                <w:rFonts w:ascii="楷体" w:hAnsi="楷体" w:eastAsia="楷体" w:cs="楷体"/>
                <w:b w:val="0"/>
                <w:color w:val="000000"/>
                <w:spacing w:val="0"/>
                <w:sz w:val="24"/>
                <w:szCs w:val="24"/>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3ED650F6">
            <w:pPr>
              <w:widowControl/>
              <w:spacing w:line="240" w:lineRule="exact"/>
              <w:jc w:val="center"/>
              <w:rPr>
                <w:rFonts w:ascii="楷体" w:hAnsi="楷体" w:eastAsia="楷体" w:cs="楷体"/>
                <w:b w:val="0"/>
                <w:color w:val="000000"/>
                <w:spacing w:val="0"/>
                <w:sz w:val="24"/>
                <w:szCs w:val="24"/>
              </w:rPr>
            </w:pPr>
            <w:r>
              <w:rPr>
                <w:rFonts w:hint="eastAsia" w:ascii="楷体" w:hAnsi="楷体" w:eastAsia="楷体" w:cs="楷体"/>
                <w:b w:val="0"/>
                <w:color w:val="000000"/>
                <w:spacing w:val="0"/>
                <w:sz w:val="22"/>
                <w:szCs w:val="22"/>
              </w:rPr>
              <w:t>专业技术职称</w:t>
            </w:r>
          </w:p>
        </w:tc>
        <w:tc>
          <w:tcPr>
            <w:tcW w:w="5377" w:type="dxa"/>
            <w:tcBorders>
              <w:top w:val="single" w:color="auto" w:sz="4" w:space="0"/>
              <w:left w:val="single" w:color="auto" w:sz="4" w:space="0"/>
              <w:bottom w:val="single" w:color="auto" w:sz="4" w:space="0"/>
              <w:right w:val="single" w:color="auto" w:sz="4" w:space="0"/>
            </w:tcBorders>
            <w:shd w:val="clear" w:color="auto" w:fill="auto"/>
            <w:vAlign w:val="center"/>
          </w:tcPr>
          <w:p w14:paraId="1CB6FBE9">
            <w:pPr>
              <w:widowControl/>
              <w:tabs>
                <w:tab w:val="right" w:pos="4869"/>
              </w:tabs>
              <w:jc w:val="left"/>
              <w:rPr>
                <w:rFonts w:asciiTheme="majorEastAsia" w:hAnsiTheme="majorEastAsia" w:eastAsiaTheme="majorEastAsia" w:cstheme="majorEastAsia"/>
                <w:b w:val="0"/>
                <w:color w:val="000000"/>
                <w:spacing w:val="0"/>
                <w:sz w:val="18"/>
                <w:szCs w:val="18"/>
              </w:rPr>
            </w:pPr>
            <w:r>
              <w:rPr>
                <w:rFonts w:hint="eastAsia" w:asciiTheme="majorEastAsia" w:hAnsiTheme="majorEastAsia" w:eastAsiaTheme="majorEastAsia" w:cstheme="majorEastAsia"/>
                <w:b w:val="0"/>
                <w:color w:val="000000"/>
                <w:spacing w:val="0"/>
                <w:sz w:val="18"/>
                <w:szCs w:val="18"/>
              </w:rPr>
              <w:t>正高级职称得5分，副高级得3分，中级得2分，初级得1分。按所取得最高级职称计算，不累加计算。</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4066946C">
            <w:pPr>
              <w:widowControl/>
              <w:jc w:val="center"/>
              <w:rPr>
                <w:rFonts w:asciiTheme="majorEastAsia" w:hAnsiTheme="majorEastAsia" w:eastAsiaTheme="majorEastAsia" w:cstheme="majorEastAsia"/>
                <w:b w:val="0"/>
                <w:color w:val="000000"/>
                <w:spacing w:val="0"/>
                <w:sz w:val="24"/>
                <w:szCs w:val="24"/>
              </w:rPr>
            </w:pPr>
            <w:r>
              <w:rPr>
                <w:rFonts w:hint="eastAsia" w:asciiTheme="majorEastAsia" w:hAnsiTheme="majorEastAsia" w:eastAsiaTheme="majorEastAsia" w:cstheme="majorEastAsia"/>
                <w:b w:val="0"/>
                <w:color w:val="000000"/>
                <w:spacing w:val="0"/>
                <w:sz w:val="24"/>
                <w:szCs w:val="24"/>
              </w:rPr>
              <w:t>5　</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14:paraId="6CF85D11">
            <w:pPr>
              <w:widowControl/>
              <w:spacing w:line="240" w:lineRule="exact"/>
              <w:jc w:val="center"/>
              <w:rPr>
                <w:rFonts w:cs="宋体"/>
                <w:b w:val="0"/>
                <w:color w:val="FF0000"/>
                <w:spacing w:val="0"/>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7E66324">
            <w:pPr>
              <w:widowControl/>
              <w:spacing w:line="240" w:lineRule="exact"/>
              <w:jc w:val="center"/>
              <w:rPr>
                <w:rFonts w:cs="宋体"/>
                <w:b w:val="0"/>
                <w:color w:val="FF0000"/>
                <w:spacing w:val="0"/>
                <w:sz w:val="21"/>
                <w:szCs w:val="21"/>
              </w:rPr>
            </w:pPr>
          </w:p>
        </w:tc>
      </w:tr>
      <w:tr w14:paraId="06E3985B">
        <w:tblPrEx>
          <w:tblCellMar>
            <w:top w:w="0" w:type="dxa"/>
            <w:left w:w="108" w:type="dxa"/>
            <w:bottom w:w="0" w:type="dxa"/>
            <w:right w:w="108" w:type="dxa"/>
          </w:tblCellMar>
        </w:tblPrEx>
        <w:trPr>
          <w:trHeight w:val="694" w:hRule="atLeast"/>
          <w:jc w:val="center"/>
        </w:trPr>
        <w:tc>
          <w:tcPr>
            <w:tcW w:w="739" w:type="dxa"/>
            <w:tcBorders>
              <w:left w:val="single" w:color="auto" w:sz="4" w:space="0"/>
              <w:bottom w:val="single" w:color="auto" w:sz="4" w:space="0"/>
              <w:right w:val="single" w:color="auto" w:sz="4" w:space="0"/>
            </w:tcBorders>
            <w:vAlign w:val="center"/>
          </w:tcPr>
          <w:p w14:paraId="4FFBD25F">
            <w:pPr>
              <w:widowControl/>
              <w:spacing w:line="240" w:lineRule="exact"/>
              <w:jc w:val="center"/>
              <w:rPr>
                <w:rFonts w:ascii="楷体" w:hAnsi="楷体" w:eastAsia="楷体" w:cs="楷体"/>
                <w:b w:val="0"/>
                <w:color w:val="000000"/>
                <w:spacing w:val="0"/>
                <w:sz w:val="24"/>
                <w:szCs w:val="24"/>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75AD0C33">
            <w:pPr>
              <w:widowControl/>
              <w:spacing w:line="240" w:lineRule="exact"/>
              <w:jc w:val="center"/>
              <w:rPr>
                <w:rFonts w:ascii="楷体" w:hAnsi="楷体" w:eastAsia="楷体" w:cs="楷体"/>
                <w:b w:val="0"/>
                <w:color w:val="000000"/>
                <w:spacing w:val="0"/>
                <w:sz w:val="24"/>
                <w:szCs w:val="24"/>
              </w:rPr>
            </w:pPr>
            <w:r>
              <w:rPr>
                <w:rFonts w:hint="eastAsia" w:ascii="楷体" w:hAnsi="楷体" w:eastAsia="楷体" w:cs="楷体"/>
                <w:b w:val="0"/>
                <w:color w:val="000000"/>
                <w:spacing w:val="0"/>
                <w:sz w:val="24"/>
                <w:szCs w:val="24"/>
              </w:rPr>
              <w:t>获得奖项</w:t>
            </w:r>
          </w:p>
        </w:tc>
        <w:tc>
          <w:tcPr>
            <w:tcW w:w="5377" w:type="dxa"/>
            <w:tcBorders>
              <w:top w:val="single" w:color="auto" w:sz="4" w:space="0"/>
              <w:left w:val="single" w:color="auto" w:sz="4" w:space="0"/>
              <w:bottom w:val="single" w:color="auto" w:sz="4" w:space="0"/>
              <w:right w:val="single" w:color="auto" w:sz="4" w:space="0"/>
            </w:tcBorders>
            <w:shd w:val="clear" w:color="auto" w:fill="auto"/>
            <w:vAlign w:val="center"/>
          </w:tcPr>
          <w:p w14:paraId="5E663543">
            <w:pPr>
              <w:widowControl/>
              <w:spacing w:line="120" w:lineRule="auto"/>
              <w:rPr>
                <w:rFonts w:asciiTheme="majorEastAsia" w:hAnsiTheme="majorEastAsia" w:eastAsiaTheme="majorEastAsia" w:cstheme="majorEastAsia"/>
                <w:b w:val="0"/>
                <w:color w:val="000000"/>
                <w:spacing w:val="-4"/>
                <w:sz w:val="18"/>
                <w:szCs w:val="18"/>
              </w:rPr>
            </w:pPr>
            <w:r>
              <w:rPr>
                <w:rFonts w:hint="eastAsia" w:asciiTheme="majorEastAsia" w:hAnsiTheme="majorEastAsia" w:eastAsiaTheme="majorEastAsia" w:cstheme="majorEastAsia"/>
                <w:b w:val="0"/>
                <w:color w:val="000000"/>
                <w:spacing w:val="-4"/>
                <w:sz w:val="18"/>
                <w:szCs w:val="18"/>
              </w:rPr>
              <w:t>获得国家级荣誉者每项得5分；获得国家部委和省级荣誉者每项得3分；获得市级荣誉者每项得1分。各项累加不超过5分。</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5946E84B">
            <w:pPr>
              <w:widowControl/>
              <w:jc w:val="center"/>
              <w:rPr>
                <w:rFonts w:asciiTheme="majorEastAsia" w:hAnsiTheme="majorEastAsia" w:eastAsiaTheme="majorEastAsia" w:cstheme="majorEastAsia"/>
                <w:b w:val="0"/>
                <w:color w:val="000000"/>
                <w:spacing w:val="0"/>
                <w:sz w:val="24"/>
                <w:szCs w:val="24"/>
              </w:rPr>
            </w:pPr>
            <w:r>
              <w:rPr>
                <w:rFonts w:hint="eastAsia" w:asciiTheme="majorEastAsia" w:hAnsiTheme="majorEastAsia" w:eastAsiaTheme="majorEastAsia" w:cstheme="majorEastAsia"/>
                <w:b w:val="0"/>
                <w:color w:val="000000"/>
                <w:spacing w:val="0"/>
                <w:sz w:val="24"/>
                <w:szCs w:val="24"/>
              </w:rPr>
              <w:t>5</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14:paraId="0AEF78AE">
            <w:pPr>
              <w:widowControl/>
              <w:spacing w:line="240" w:lineRule="exact"/>
              <w:jc w:val="center"/>
              <w:rPr>
                <w:rFonts w:cs="宋体"/>
                <w:b w:val="0"/>
                <w:color w:val="FF0000"/>
                <w:spacing w:val="0"/>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61388583">
            <w:pPr>
              <w:widowControl/>
              <w:spacing w:line="240" w:lineRule="exact"/>
              <w:jc w:val="center"/>
              <w:rPr>
                <w:rFonts w:cs="宋体"/>
                <w:b w:val="0"/>
                <w:color w:val="FF0000"/>
                <w:spacing w:val="0"/>
                <w:sz w:val="21"/>
                <w:szCs w:val="21"/>
              </w:rPr>
            </w:pPr>
          </w:p>
        </w:tc>
      </w:tr>
    </w:tbl>
    <w:p w14:paraId="6A84CDF1">
      <w:pPr>
        <w:rPr>
          <w:rFonts w:ascii="仿宋_GB2312" w:eastAsia="仿宋_GB2312"/>
          <w:b w:val="0"/>
          <w:sz w:val="21"/>
          <w:szCs w:val="21"/>
        </w:rPr>
      </w:pPr>
    </w:p>
    <w:p w14:paraId="0DFE5AB3">
      <w:pPr>
        <w:ind w:left="950" w:hanging="950" w:hangingChars="500"/>
        <w:rPr>
          <w:rFonts w:ascii="Times New Roman" w:hAnsi="Times New Roman" w:eastAsia="方正仿宋_GB2312"/>
          <w:b w:val="0"/>
          <w:sz w:val="21"/>
          <w:szCs w:val="21"/>
        </w:rPr>
      </w:pPr>
      <w:r>
        <w:rPr>
          <w:rFonts w:ascii="Times New Roman" w:hAnsi="Times New Roman" w:eastAsia="方正仿宋_GB2312"/>
          <w:b w:val="0"/>
          <w:sz w:val="21"/>
          <w:szCs w:val="21"/>
        </w:rPr>
        <w:t>特殊人才: 1. SCI、SSCI一区</w:t>
      </w:r>
      <w:r>
        <w:rPr>
          <w:rFonts w:hint="eastAsia" w:ascii="仿宋" w:hAnsi="仿宋" w:eastAsia="仿宋"/>
          <w:b w:val="0"/>
          <w:sz w:val="21"/>
          <w:szCs w:val="21"/>
        </w:rPr>
        <w:t>检索</w:t>
      </w:r>
      <w:r>
        <w:rPr>
          <w:rFonts w:ascii="仿宋" w:hAnsi="仿宋" w:eastAsia="仿宋"/>
          <w:b w:val="0"/>
          <w:sz w:val="21"/>
          <w:szCs w:val="21"/>
        </w:rPr>
        <w:t>超过</w:t>
      </w:r>
      <w:r>
        <w:rPr>
          <w:rFonts w:hint="eastAsia" w:ascii="Times New Roman" w:hAnsi="Times New Roman" w:eastAsia="方正仿宋_GB2312"/>
          <w:b w:val="0"/>
          <w:sz w:val="21"/>
          <w:szCs w:val="21"/>
        </w:rPr>
        <w:t>2</w:t>
      </w:r>
      <w:r>
        <w:rPr>
          <w:rFonts w:ascii="Times New Roman" w:hAnsi="Times New Roman" w:eastAsia="方正仿宋_GB2312"/>
          <w:b w:val="0"/>
          <w:sz w:val="21"/>
          <w:szCs w:val="21"/>
        </w:rPr>
        <w:t>篇（含）</w:t>
      </w:r>
      <w:r>
        <w:rPr>
          <w:rFonts w:hint="eastAsia" w:ascii="Times New Roman" w:hAnsi="Times New Roman" w:eastAsia="方正仿宋_GB2312"/>
          <w:b w:val="0"/>
          <w:sz w:val="21"/>
          <w:szCs w:val="21"/>
        </w:rPr>
        <w:t>、二</w:t>
      </w:r>
      <w:r>
        <w:rPr>
          <w:rFonts w:ascii="Times New Roman" w:hAnsi="Times New Roman" w:eastAsia="方正仿宋_GB2312"/>
          <w:b w:val="0"/>
          <w:sz w:val="21"/>
          <w:szCs w:val="21"/>
        </w:rPr>
        <w:t>区</w:t>
      </w:r>
      <w:r>
        <w:rPr>
          <w:rFonts w:hint="eastAsia" w:ascii="Times New Roman" w:hAnsi="Times New Roman" w:eastAsia="方正仿宋_GB2312"/>
          <w:b w:val="0"/>
          <w:sz w:val="21"/>
          <w:szCs w:val="21"/>
        </w:rPr>
        <w:t>检索</w:t>
      </w:r>
      <w:r>
        <w:rPr>
          <w:rFonts w:ascii="Times New Roman" w:hAnsi="Times New Roman" w:eastAsia="方正仿宋_GB2312"/>
          <w:b w:val="0"/>
          <w:sz w:val="21"/>
          <w:szCs w:val="21"/>
        </w:rPr>
        <w:t>超过</w:t>
      </w:r>
      <w:r>
        <w:rPr>
          <w:rFonts w:hint="eastAsia" w:ascii="Times New Roman" w:hAnsi="Times New Roman" w:eastAsia="方正仿宋_GB2312"/>
          <w:b w:val="0"/>
          <w:sz w:val="21"/>
          <w:szCs w:val="21"/>
        </w:rPr>
        <w:t>3</w:t>
      </w:r>
      <w:r>
        <w:rPr>
          <w:rFonts w:ascii="Times New Roman" w:hAnsi="Times New Roman" w:eastAsia="方正仿宋_GB2312"/>
          <w:b w:val="0"/>
          <w:sz w:val="21"/>
          <w:szCs w:val="21"/>
        </w:rPr>
        <w:t>篇（含）</w:t>
      </w:r>
      <w:r>
        <w:rPr>
          <w:rFonts w:hint="eastAsia" w:ascii="Times New Roman" w:hAnsi="Times New Roman" w:eastAsia="方正仿宋_GB2312"/>
          <w:b w:val="0"/>
          <w:sz w:val="21"/>
          <w:szCs w:val="21"/>
        </w:rPr>
        <w:t>、三</w:t>
      </w:r>
      <w:r>
        <w:rPr>
          <w:rFonts w:ascii="Times New Roman" w:hAnsi="Times New Roman" w:eastAsia="方正仿宋_GB2312"/>
          <w:b w:val="0"/>
          <w:sz w:val="21"/>
          <w:szCs w:val="21"/>
        </w:rPr>
        <w:t>区</w:t>
      </w:r>
      <w:r>
        <w:rPr>
          <w:rFonts w:hint="eastAsia" w:ascii="Times New Roman" w:hAnsi="Times New Roman" w:eastAsia="方正仿宋_GB2312"/>
          <w:b w:val="0"/>
          <w:sz w:val="21"/>
          <w:szCs w:val="21"/>
        </w:rPr>
        <w:t>检索</w:t>
      </w:r>
      <w:r>
        <w:rPr>
          <w:rFonts w:ascii="Times New Roman" w:hAnsi="Times New Roman" w:eastAsia="方正仿宋_GB2312"/>
          <w:b w:val="0"/>
          <w:sz w:val="21"/>
          <w:szCs w:val="21"/>
        </w:rPr>
        <w:t>超过</w:t>
      </w:r>
      <w:r>
        <w:rPr>
          <w:rFonts w:hint="eastAsia" w:ascii="Times New Roman" w:hAnsi="Times New Roman" w:eastAsia="方正仿宋_GB2312"/>
          <w:b w:val="0"/>
          <w:sz w:val="21"/>
          <w:szCs w:val="21"/>
        </w:rPr>
        <w:t>5</w:t>
      </w:r>
      <w:r>
        <w:rPr>
          <w:rFonts w:ascii="Times New Roman" w:hAnsi="Times New Roman" w:eastAsia="方正仿宋_GB2312"/>
          <w:b w:val="0"/>
          <w:sz w:val="21"/>
          <w:szCs w:val="21"/>
        </w:rPr>
        <w:t>篇（含）者</w:t>
      </w:r>
      <w:r>
        <w:rPr>
          <w:rFonts w:hint="eastAsia" w:ascii="Times New Roman" w:hAnsi="Times New Roman" w:eastAsia="方正仿宋_GB2312"/>
          <w:b w:val="0"/>
          <w:sz w:val="21"/>
          <w:szCs w:val="21"/>
        </w:rPr>
        <w:t>，</w:t>
      </w:r>
      <w:r>
        <w:rPr>
          <w:rFonts w:ascii="Times New Roman" w:hAnsi="Times New Roman" w:eastAsia="方正仿宋_GB2312"/>
          <w:b w:val="0"/>
          <w:sz w:val="21"/>
          <w:szCs w:val="21"/>
        </w:rPr>
        <w:t>人才评价按满分计算（100分）</w:t>
      </w:r>
      <w:r>
        <w:rPr>
          <w:rFonts w:hint="eastAsia" w:ascii="Times New Roman" w:hAnsi="Times New Roman" w:eastAsia="方正仿宋_GB2312"/>
          <w:b w:val="0"/>
          <w:sz w:val="21"/>
          <w:szCs w:val="21"/>
        </w:rPr>
        <w:t>，须为第一作者，不含并列第一作者</w:t>
      </w:r>
      <w:r>
        <w:rPr>
          <w:rFonts w:ascii="Times New Roman" w:hAnsi="Times New Roman" w:eastAsia="方正仿宋_GB2312"/>
          <w:b w:val="0"/>
          <w:sz w:val="21"/>
          <w:szCs w:val="21"/>
        </w:rPr>
        <w:t>。</w:t>
      </w:r>
    </w:p>
    <w:p w14:paraId="5D33940E">
      <w:pPr>
        <w:ind w:firstLine="950" w:firstLineChars="500"/>
        <w:rPr>
          <w:rFonts w:ascii="Times New Roman" w:hAnsi="Times New Roman" w:eastAsia="方正仿宋_GB2312"/>
          <w:b w:val="0"/>
          <w:sz w:val="21"/>
          <w:szCs w:val="21"/>
        </w:rPr>
      </w:pPr>
      <w:r>
        <w:rPr>
          <w:rFonts w:ascii="Times New Roman" w:hAnsi="Times New Roman" w:eastAsia="方正仿宋_GB2312"/>
          <w:b w:val="0"/>
          <w:sz w:val="21"/>
          <w:szCs w:val="21"/>
        </w:rPr>
        <w:t>2.获得国家级荣誉3项（含）以上者，人才评价按满分计算（100分）。</w:t>
      </w:r>
    </w:p>
    <w:p w14:paraId="28B9C269">
      <w:pPr>
        <w:rPr>
          <w:rFonts w:ascii="Times New Roman" w:hAnsi="Times New Roman" w:eastAsia="方正仿宋_GB2312"/>
          <w:b w:val="0"/>
          <w:sz w:val="21"/>
          <w:szCs w:val="21"/>
        </w:rPr>
      </w:pPr>
      <w:r>
        <w:rPr>
          <w:rFonts w:ascii="Times New Roman" w:hAnsi="Times New Roman" w:eastAsia="方正仿宋_GB2312"/>
          <w:b w:val="0"/>
          <w:sz w:val="21"/>
          <w:szCs w:val="21"/>
        </w:rPr>
        <w:t xml:space="preserve">           3.符合条件的博士研究生报名直接进入体检、考察环节。</w:t>
      </w:r>
      <w:bookmarkStart w:id="0" w:name="_GoBack"/>
      <w:bookmarkEnd w:id="0"/>
    </w:p>
    <w:sectPr>
      <w:pgSz w:w="11906" w:h="16838"/>
      <w:pgMar w:top="1304" w:right="1191" w:bottom="130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8E7852-834E-4C83-B687-C2523A9557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E5F6D42-40D5-4E92-875F-BF62C325D55A}"/>
  </w:font>
  <w:font w:name="方正小标宋简体">
    <w:panose1 w:val="02000000000000000000"/>
    <w:charset w:val="86"/>
    <w:family w:val="auto"/>
    <w:pitch w:val="default"/>
    <w:sig w:usb0="00000001" w:usb1="08000000" w:usb2="00000000" w:usb3="00000000" w:csb0="00040000" w:csb1="00000000"/>
    <w:embedRegular r:id="rId3" w:fontKey="{A278FBBC-B51D-4A7C-9E35-7B632BC98777}"/>
  </w:font>
  <w:font w:name="楷体">
    <w:panose1 w:val="02010609060101010101"/>
    <w:charset w:val="86"/>
    <w:family w:val="modern"/>
    <w:pitch w:val="default"/>
    <w:sig w:usb0="800002BF" w:usb1="38CF7CFA" w:usb2="00000016" w:usb3="00000000" w:csb0="00040001" w:csb1="00000000"/>
    <w:embedRegular r:id="rId4" w:fontKey="{E1CBBE8D-9BFE-4E83-A8E8-C3AC2E28AD1B}"/>
  </w:font>
  <w:font w:name="仿宋_GB2312">
    <w:altName w:val="仿宋"/>
    <w:panose1 w:val="02010609030101010101"/>
    <w:charset w:val="86"/>
    <w:family w:val="modern"/>
    <w:pitch w:val="default"/>
    <w:sig w:usb0="00000000" w:usb1="00000000" w:usb2="00000010" w:usb3="00000000" w:csb0="00040000" w:csb1="00000000"/>
    <w:embedRegular r:id="rId5" w:fontKey="{26E725C3-F366-4747-9184-87636F17CF91}"/>
  </w:font>
  <w:font w:name="方正仿宋_GB2312">
    <w:panose1 w:val="02000000000000000000"/>
    <w:charset w:val="86"/>
    <w:family w:val="auto"/>
    <w:pitch w:val="default"/>
    <w:sig w:usb0="A00002BF" w:usb1="184F6CFA" w:usb2="00000012" w:usb3="00000000" w:csb0="00040001" w:csb1="00000000"/>
    <w:embedRegular r:id="rId6" w:fontKey="{36CDC947-1F41-4A39-ADC1-63ADAAEE920D}"/>
  </w:font>
  <w:font w:name="仿宋">
    <w:panose1 w:val="02010609060101010101"/>
    <w:charset w:val="86"/>
    <w:family w:val="modern"/>
    <w:pitch w:val="default"/>
    <w:sig w:usb0="800002BF" w:usb1="38CF7CFA" w:usb2="00000016" w:usb3="00000000" w:csb0="00040001" w:csb1="00000000"/>
    <w:embedRegular r:id="rId7" w:fontKey="{EE36A0C6-C858-422F-90B0-5AA71792650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wODQ0YzY5YzM4MjAzM2NiNTc5YTRhZjc0N2YzOWYifQ=="/>
  </w:docVars>
  <w:rsids>
    <w:rsidRoot w:val="00F77485"/>
    <w:rsid w:val="0003732F"/>
    <w:rsid w:val="0004362B"/>
    <w:rsid w:val="000640C2"/>
    <w:rsid w:val="00076768"/>
    <w:rsid w:val="00080CC6"/>
    <w:rsid w:val="000D0124"/>
    <w:rsid w:val="000D32C2"/>
    <w:rsid w:val="000D7458"/>
    <w:rsid w:val="000E7070"/>
    <w:rsid w:val="000F5344"/>
    <w:rsid w:val="000F566E"/>
    <w:rsid w:val="001168F9"/>
    <w:rsid w:val="00122757"/>
    <w:rsid w:val="00122CB7"/>
    <w:rsid w:val="00125857"/>
    <w:rsid w:val="00136F62"/>
    <w:rsid w:val="00144453"/>
    <w:rsid w:val="001613A7"/>
    <w:rsid w:val="00166331"/>
    <w:rsid w:val="00195120"/>
    <w:rsid w:val="001962E4"/>
    <w:rsid w:val="001E5A43"/>
    <w:rsid w:val="001E79CF"/>
    <w:rsid w:val="00200B4E"/>
    <w:rsid w:val="00226D70"/>
    <w:rsid w:val="002523A9"/>
    <w:rsid w:val="00297D1F"/>
    <w:rsid w:val="002B5AE0"/>
    <w:rsid w:val="002C4017"/>
    <w:rsid w:val="002D152C"/>
    <w:rsid w:val="002E6F25"/>
    <w:rsid w:val="002F324D"/>
    <w:rsid w:val="00304DD7"/>
    <w:rsid w:val="00331DA4"/>
    <w:rsid w:val="00351A2F"/>
    <w:rsid w:val="003A6082"/>
    <w:rsid w:val="003C209C"/>
    <w:rsid w:val="003D4706"/>
    <w:rsid w:val="00430398"/>
    <w:rsid w:val="0043530B"/>
    <w:rsid w:val="00474CF1"/>
    <w:rsid w:val="00480F5D"/>
    <w:rsid w:val="00484C50"/>
    <w:rsid w:val="00494A50"/>
    <w:rsid w:val="004E6CF6"/>
    <w:rsid w:val="004F7969"/>
    <w:rsid w:val="00532536"/>
    <w:rsid w:val="0054404B"/>
    <w:rsid w:val="00556F68"/>
    <w:rsid w:val="005C1E7D"/>
    <w:rsid w:val="005D4667"/>
    <w:rsid w:val="005D7BF1"/>
    <w:rsid w:val="00600B23"/>
    <w:rsid w:val="00622C39"/>
    <w:rsid w:val="006410E4"/>
    <w:rsid w:val="0067451C"/>
    <w:rsid w:val="00677257"/>
    <w:rsid w:val="006A3CEA"/>
    <w:rsid w:val="006A5CF6"/>
    <w:rsid w:val="006D4D7C"/>
    <w:rsid w:val="006E123D"/>
    <w:rsid w:val="006E6672"/>
    <w:rsid w:val="007009A8"/>
    <w:rsid w:val="00724D8E"/>
    <w:rsid w:val="00757F72"/>
    <w:rsid w:val="00794866"/>
    <w:rsid w:val="007B02F7"/>
    <w:rsid w:val="007B407C"/>
    <w:rsid w:val="007C263A"/>
    <w:rsid w:val="007D7311"/>
    <w:rsid w:val="007E3CDE"/>
    <w:rsid w:val="00804577"/>
    <w:rsid w:val="00824AD6"/>
    <w:rsid w:val="008407DE"/>
    <w:rsid w:val="008433FC"/>
    <w:rsid w:val="00843697"/>
    <w:rsid w:val="008540CB"/>
    <w:rsid w:val="00872F1C"/>
    <w:rsid w:val="008905D9"/>
    <w:rsid w:val="008C3862"/>
    <w:rsid w:val="008E4392"/>
    <w:rsid w:val="008F3B80"/>
    <w:rsid w:val="00943BF5"/>
    <w:rsid w:val="00955FBE"/>
    <w:rsid w:val="00972EA2"/>
    <w:rsid w:val="00A0240D"/>
    <w:rsid w:val="00A60A7F"/>
    <w:rsid w:val="00A67793"/>
    <w:rsid w:val="00A819E5"/>
    <w:rsid w:val="00A924B7"/>
    <w:rsid w:val="00AA4EC8"/>
    <w:rsid w:val="00AF2A8E"/>
    <w:rsid w:val="00B17F58"/>
    <w:rsid w:val="00B212F8"/>
    <w:rsid w:val="00B453BE"/>
    <w:rsid w:val="00B73E10"/>
    <w:rsid w:val="00B97E94"/>
    <w:rsid w:val="00BA2D1B"/>
    <w:rsid w:val="00BC4B5D"/>
    <w:rsid w:val="00BC7F0B"/>
    <w:rsid w:val="00C249B4"/>
    <w:rsid w:val="00C62492"/>
    <w:rsid w:val="00C63B2C"/>
    <w:rsid w:val="00C96B76"/>
    <w:rsid w:val="00CB3BFE"/>
    <w:rsid w:val="00CD3E65"/>
    <w:rsid w:val="00D7531D"/>
    <w:rsid w:val="00D945D3"/>
    <w:rsid w:val="00DB0504"/>
    <w:rsid w:val="00DE0427"/>
    <w:rsid w:val="00DE3824"/>
    <w:rsid w:val="00E05EA5"/>
    <w:rsid w:val="00E4491C"/>
    <w:rsid w:val="00E46EAC"/>
    <w:rsid w:val="00E54D74"/>
    <w:rsid w:val="00E66B26"/>
    <w:rsid w:val="00E67264"/>
    <w:rsid w:val="00E76676"/>
    <w:rsid w:val="00E76C65"/>
    <w:rsid w:val="00E86275"/>
    <w:rsid w:val="00EA00E5"/>
    <w:rsid w:val="00EE21F2"/>
    <w:rsid w:val="00EF1CB2"/>
    <w:rsid w:val="00EF57F2"/>
    <w:rsid w:val="00F07C6A"/>
    <w:rsid w:val="00F200B5"/>
    <w:rsid w:val="00F233D8"/>
    <w:rsid w:val="00F72D98"/>
    <w:rsid w:val="00F77485"/>
    <w:rsid w:val="00FA5557"/>
    <w:rsid w:val="00FB5E6E"/>
    <w:rsid w:val="00FC06C4"/>
    <w:rsid w:val="01A176A6"/>
    <w:rsid w:val="034F1C38"/>
    <w:rsid w:val="093D4D54"/>
    <w:rsid w:val="0A304CFB"/>
    <w:rsid w:val="0BDA67C9"/>
    <w:rsid w:val="0DC73A73"/>
    <w:rsid w:val="1144676B"/>
    <w:rsid w:val="12482F23"/>
    <w:rsid w:val="1AF97477"/>
    <w:rsid w:val="1BE7606E"/>
    <w:rsid w:val="1C262569"/>
    <w:rsid w:val="1C8C02F2"/>
    <w:rsid w:val="20B90050"/>
    <w:rsid w:val="22BD6413"/>
    <w:rsid w:val="25043290"/>
    <w:rsid w:val="2B6F3032"/>
    <w:rsid w:val="34D923E8"/>
    <w:rsid w:val="387F70C6"/>
    <w:rsid w:val="3903723A"/>
    <w:rsid w:val="3A234969"/>
    <w:rsid w:val="3B1324C5"/>
    <w:rsid w:val="3B854432"/>
    <w:rsid w:val="3EDD5B53"/>
    <w:rsid w:val="40BB6BEE"/>
    <w:rsid w:val="449971F9"/>
    <w:rsid w:val="46BB16F0"/>
    <w:rsid w:val="495158D0"/>
    <w:rsid w:val="4DFF4A4D"/>
    <w:rsid w:val="4EE259CC"/>
    <w:rsid w:val="4EE33EB0"/>
    <w:rsid w:val="51412DBB"/>
    <w:rsid w:val="51A73407"/>
    <w:rsid w:val="520057B7"/>
    <w:rsid w:val="566075B3"/>
    <w:rsid w:val="58816E9F"/>
    <w:rsid w:val="5C4A57F7"/>
    <w:rsid w:val="5CE8722B"/>
    <w:rsid w:val="5D2C58CF"/>
    <w:rsid w:val="5EE44030"/>
    <w:rsid w:val="5F5275BE"/>
    <w:rsid w:val="61497093"/>
    <w:rsid w:val="6C967015"/>
    <w:rsid w:val="6D283351"/>
    <w:rsid w:val="6FC34CAF"/>
    <w:rsid w:val="6FD168D1"/>
    <w:rsid w:val="702A538B"/>
    <w:rsid w:val="703919F1"/>
    <w:rsid w:val="70C7622B"/>
    <w:rsid w:val="76754E1A"/>
    <w:rsid w:val="76C557BD"/>
    <w:rsid w:val="7B57039E"/>
    <w:rsid w:val="7E6F23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imes New Roman"/>
      <w:b/>
      <w:spacing w:val="-10"/>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rFonts w:ascii="宋体" w:hAnsi="宋体" w:eastAsia="宋体" w:cs="Times New Roman"/>
      <w:b/>
      <w:spacing w:val="-10"/>
      <w:kern w:val="0"/>
      <w:sz w:val="18"/>
      <w:szCs w:val="18"/>
    </w:rPr>
  </w:style>
  <w:style w:type="character" w:customStyle="1" w:styleId="8">
    <w:name w:val="页脚 Char"/>
    <w:basedOn w:val="6"/>
    <w:link w:val="3"/>
    <w:autoRedefine/>
    <w:qFormat/>
    <w:uiPriority w:val="99"/>
    <w:rPr>
      <w:rFonts w:ascii="宋体" w:hAnsi="宋体" w:eastAsia="宋体" w:cs="Times New Roman"/>
      <w:b/>
      <w:spacing w:val="-10"/>
      <w:kern w:val="0"/>
      <w:sz w:val="18"/>
      <w:szCs w:val="18"/>
    </w:rPr>
  </w:style>
  <w:style w:type="character" w:customStyle="1" w:styleId="9">
    <w:name w:val="批注框文本 Char"/>
    <w:basedOn w:val="6"/>
    <w:link w:val="2"/>
    <w:autoRedefine/>
    <w:semiHidden/>
    <w:qFormat/>
    <w:uiPriority w:val="99"/>
    <w:rPr>
      <w:rFonts w:ascii="宋体" w:hAnsi="宋体" w:eastAsia="宋体" w:cs="Times New Roman"/>
      <w:b/>
      <w:spacing w:val="-1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赤峰市人力资源和社会保障局</Company>
  <Pages>1</Pages>
  <Words>974</Words>
  <Characters>1083</Characters>
  <Lines>8</Lines>
  <Paragraphs>2</Paragraphs>
  <TotalTime>17</TotalTime>
  <ScaleCrop>false</ScaleCrop>
  <LinksUpToDate>false</LinksUpToDate>
  <CharactersWithSpaces>1104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2022-04-29T01:07:00Z</dcterms:created>
  <dc:creator>Yuan</dc:creator>
  <cp:lastModifiedBy>～～～</cp:lastModifiedBy>
  <cp:lastPrinted>2024-08-01T08:20:00Z</cp:lastPrinted>
  <dcterms:modified xsi:type="dcterms:W3CDTF">2024-08-02T07:08:05Z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66786E7C80C2423FB5C08308022CC794_13</vt:lpwstr>
  </property>
</Properties>
</file>