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spacing w:val="-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pacing w:val="-17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spacing w:val="-17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</w:rPr>
        <w:t>2024年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eastAsia="zh-CN"/>
        </w:rPr>
        <w:t>度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</w:rPr>
        <w:t>通辽市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eastAsia="zh-CN"/>
        </w:rPr>
        <w:t>科尔沁区事</w:t>
      </w:r>
      <w:bookmarkStart w:id="0" w:name="_GoBack"/>
      <w:bookmarkEnd w:id="0"/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eastAsia="zh-CN"/>
        </w:rPr>
        <w:t>业单位人才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</w:rPr>
        <w:t>引进人才评价表</w:t>
      </w:r>
    </w:p>
    <w:p>
      <w:pPr>
        <w:jc w:val="both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24"/>
          <w:szCs w:val="24"/>
          <w:lang w:eastAsia="zh-CN"/>
        </w:rPr>
        <w:t>报考单位：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none"/>
          <w:lang w:val="en-US" w:eastAsia="zh-CN"/>
        </w:rPr>
        <w:t xml:space="preserve"> 报考岗位：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>自评得分：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 xml:space="preserve">复核得分：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2"/>
        <w:tblW w:w="10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3"/>
        <w:gridCol w:w="5377"/>
        <w:gridCol w:w="640"/>
        <w:gridCol w:w="863"/>
        <w:gridCol w:w="714"/>
        <w:gridCol w:w="798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5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</w:t>
            </w:r>
          </w:p>
          <w:p>
            <w:pPr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  <w:lang w:eastAsia="zh-CN"/>
              </w:rPr>
              <w:t>复核</w:t>
            </w: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得分项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  <w:lang w:eastAsia="zh-CN"/>
              </w:rPr>
              <w:t>复核</w:t>
            </w: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评价项目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4"/>
                <w:sz w:val="18"/>
                <w:szCs w:val="18"/>
              </w:rPr>
              <w:t>本 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A类3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所高校且一流学科者得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分；B类6所高校且一流学科者得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分；A类3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所高校且非一流学科者得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分；非A类、B类高校且一流学科者得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分；B类6所高校且非一流学科者得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分；非A类、B类高校且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一流学科者得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4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-4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国 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A类3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所高校且一流学科者得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分；B类6所高校且一流学科者得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分；A类3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所高校且非一流学科者得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分；非A类、B类高校且一流学科者得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分；B类6所高校且非一流学科者得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分；非A类、B类高校且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一流学科者得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海 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世界综合排名高校1-10名的，得30分；世界综合排名高校11-50名的，得28分；世界综合排名高校51-100名的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分；世界综合排名高校101-200名的，得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分；世界综合排名高校201-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00名的，得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学业成绩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  <w:t>本科或研究生成绩：以GPA为评价标准，基础分为1分，最高10分。按以下标准赋分：GPA 3.7-4得10分，GPA 3.4-3.6得9分，GPA 3.1-3.3得8分，GPA 2.8-3得7分，GPA 2.5-2.7得6分，GPA 2.2-2.4得5分，GPA 1.9-2.1得4分，GPA 1.6-1.8得3分，GPA 1.3-1.5得2分，GPA1-1.2得1分，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  <w:sz w:val="18"/>
                <w:szCs w:val="18"/>
              </w:rPr>
              <w:t>取小数点后一位，不四舍五入。以最高成绩计算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科研成果</w:t>
            </w:r>
          </w:p>
        </w:tc>
        <w:tc>
          <w:tcPr>
            <w:tcW w:w="5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  <w:t>作为第一作者发表论文文章且被SCI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val="en-US" w:eastAsia="zh-CN"/>
              </w:rPr>
              <w:t>SSCI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  <w:t>收录者，每篇得7分；作为除导师以外第一作者发表论文文章且被SCI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val="en-US" w:eastAsia="zh-CN"/>
              </w:rPr>
              <w:t>SSCI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  <w:t>收录者，每篇得4分；作为除导师以外第二作者发表论文文章且被SCI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  <w:lang w:val="en-US" w:eastAsia="zh-CN"/>
              </w:rPr>
              <w:t>SSCI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  <w:t>收录者，每篇得2分；作为第一作者发表论文文章且被EI收录者，每篇得1分。同一篇文章按最高分计算。作为第一发明人发表发明专利，每项得5分。各项累加不超过10分。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职业资格</w:t>
            </w:r>
          </w:p>
        </w:tc>
        <w:tc>
          <w:tcPr>
            <w:tcW w:w="5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副高级及以上水平评价类专业技术人员职业资格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的得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18"/>
                <w:szCs w:val="18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取得可对应至中级职称的专业技术人员职业资格得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</w:rPr>
              <w:t>在可按照级别划分的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准入类专业技术人员职业资格中取得最高级别职业资格的得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3分，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按所取得最高级职称计算，不累加计算。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2"/>
                <w:szCs w:val="22"/>
              </w:rPr>
              <w:t>专业技术职称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4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</w:rPr>
              <w:t>正高级职称得5分，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高级职称得</w:t>
            </w:r>
            <w:r>
              <w:rPr>
                <w:rFonts w:hint="eastAsia" w:cs="宋体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分，中级</w:t>
            </w:r>
            <w:r>
              <w:rPr>
                <w:rFonts w:hint="eastAsia" w:cs="宋体"/>
                <w:b w:val="0"/>
                <w:color w:val="000000"/>
                <w:spacing w:val="0"/>
                <w:sz w:val="18"/>
                <w:szCs w:val="18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得</w:t>
            </w:r>
            <w:r>
              <w:rPr>
                <w:rFonts w:hint="eastAsia" w:cs="宋体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18"/>
                <w:szCs w:val="18"/>
              </w:rPr>
              <w:t>分。按所取得最高级职称计算，不累加计算。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5　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获得奖项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  <w:t>获得国家级荣誉者每项得5分；获得国家部委和省级荣誉者每项得3分；获得市级荣誉者每项得1分。各项累加不超过5分。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 w:val="0"/>
          <w:sz w:val="21"/>
          <w:szCs w:val="21"/>
        </w:rPr>
        <w:t>特殊人才: 符合条件的博士研究生</w:t>
      </w:r>
      <w:r>
        <w:rPr>
          <w:rFonts w:hint="eastAsia" w:ascii="仿宋_GB2312" w:eastAsia="仿宋_GB2312"/>
          <w:b w:val="0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b w:val="0"/>
          <w:sz w:val="21"/>
          <w:szCs w:val="21"/>
        </w:rPr>
        <w:t>报名</w:t>
      </w:r>
      <w:r>
        <w:rPr>
          <w:rFonts w:hint="eastAsia" w:ascii="仿宋_GB2312" w:eastAsia="仿宋_GB2312"/>
          <w:b w:val="0"/>
          <w:sz w:val="21"/>
          <w:szCs w:val="21"/>
          <w:lang w:eastAsia="zh-CN"/>
        </w:rPr>
        <w:t>后</w:t>
      </w:r>
      <w:r>
        <w:rPr>
          <w:rFonts w:hint="eastAsia" w:ascii="仿宋_GB2312" w:eastAsia="仿宋_GB2312"/>
          <w:b w:val="0"/>
          <w:sz w:val="21"/>
          <w:szCs w:val="21"/>
        </w:rPr>
        <w:t>直接进入</w:t>
      </w:r>
      <w:r>
        <w:rPr>
          <w:rFonts w:hint="eastAsia" w:ascii="仿宋_GB2312" w:eastAsia="仿宋_GB2312"/>
          <w:b w:val="0"/>
          <w:sz w:val="21"/>
          <w:szCs w:val="21"/>
          <w:lang w:eastAsia="zh-CN"/>
        </w:rPr>
        <w:t>面试</w:t>
      </w:r>
      <w:r>
        <w:rPr>
          <w:rFonts w:hint="eastAsia" w:ascii="仿宋_GB2312" w:eastAsia="仿宋_GB2312"/>
          <w:b w:val="0"/>
          <w:sz w:val="21"/>
          <w:szCs w:val="21"/>
        </w:rPr>
        <w:t>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b/>
          <w:bCs/>
          <w:sz w:val="21"/>
          <w:szCs w:val="21"/>
        </w:rPr>
        <w:t>考生承诺: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40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b/>
          <w:bCs/>
          <w:sz w:val="21"/>
          <w:szCs w:val="21"/>
        </w:rPr>
        <w:t>本表所填写的信息应真实准确无误，提交的证书、证件和照片</w:t>
      </w:r>
      <w:r>
        <w:rPr>
          <w:rFonts w:hint="eastAsia" w:ascii="仿宋_GB2312" w:eastAsia="仿宋_GB2312"/>
          <w:b/>
          <w:bCs/>
          <w:sz w:val="21"/>
          <w:szCs w:val="21"/>
          <w:lang w:eastAsia="zh-CN"/>
        </w:rPr>
        <w:t>及相关佐证材料</w:t>
      </w:r>
      <w:r>
        <w:rPr>
          <w:rFonts w:hint="eastAsia" w:ascii="仿宋_GB2312" w:eastAsia="仿宋_GB2312"/>
          <w:b/>
          <w:bCs/>
          <w:sz w:val="21"/>
          <w:szCs w:val="21"/>
        </w:rPr>
        <w:t>真实有效，无隐瞒、虚假等行为；若有一项虚假的，人才评价按0分计算。本人愿承担一切责任。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b w:val="0"/>
          <w:sz w:val="21"/>
          <w:szCs w:val="21"/>
          <w:lang w:eastAsia="zh-CN"/>
        </w:rPr>
        <w:t>身份证号码：</w:t>
      </w:r>
      <w:r>
        <w:rPr>
          <w:rFonts w:hint="eastAsia" w:ascii="仿宋_GB2312" w:eastAsia="仿宋_GB2312"/>
          <w:b w:val="0"/>
          <w:sz w:val="21"/>
          <w:szCs w:val="21"/>
          <w:lang w:val="en-US" w:eastAsia="zh-CN"/>
        </w:rPr>
        <w:t xml:space="preserve">               本人签字（捺印）：                        年   月   日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ZlYjUyZTAxNmFmMmYwZmMxYWViYzdlYTY0ZGYifQ=="/>
  </w:docVars>
  <w:rsids>
    <w:rsidRoot w:val="464025A8"/>
    <w:rsid w:val="16675E44"/>
    <w:rsid w:val="464025A8"/>
    <w:rsid w:val="4AF45637"/>
    <w:rsid w:val="59D61361"/>
    <w:rsid w:val="5EDAEB65"/>
    <w:rsid w:val="639530AB"/>
    <w:rsid w:val="68DD68DF"/>
    <w:rsid w:val="705D5574"/>
    <w:rsid w:val="7E7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1030</Words>
  <Characters>1178</Characters>
  <Lines>0</Lines>
  <Paragraphs>0</Paragraphs>
  <TotalTime>10</TotalTime>
  <ScaleCrop>false</ScaleCrop>
  <LinksUpToDate>false</LinksUpToDate>
  <CharactersWithSpaces>1294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2024-07-22T11:50:00Z</dcterms:created>
  <dc:creator>科尔沁区人社局</dc:creator>
  <cp:lastModifiedBy>科尔沁区人社局</cp:lastModifiedBy>
  <cp:lastPrinted>2024-08-08T15:48:00Z</cp:lastPrinted>
  <dcterms:modified xsi:type="dcterms:W3CDTF">2024-08-12T11:54:49Z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ACFA640BC90B4934A5A4EC61796DDBC5_13</vt:lpwstr>
  </property>
</Properties>
</file>