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东莞市科技人才服务中心2024年自主（公开）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  <w:bookmarkEnd w:id="0"/>
    </w:p>
    <w:tbl>
      <w:tblPr>
        <w:tblStyle w:val="2"/>
        <w:tblpPr w:leftFromText="180" w:rightFromText="180" w:vertAnchor="page" w:horzAnchor="page" w:tblpX="1292" w:tblpY="375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69"/>
        <w:gridCol w:w="1261"/>
        <w:gridCol w:w="808"/>
        <w:gridCol w:w="948"/>
        <w:gridCol w:w="2718"/>
        <w:gridCol w:w="2014"/>
        <w:gridCol w:w="1929"/>
        <w:gridCol w:w="3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126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  <w:t>岗位</w:t>
            </w:r>
            <w:r>
              <w:rPr>
                <w:rFonts w:hint="eastAsia" w:eastAsia="仿宋_GB2312"/>
                <w:b/>
                <w:color w:val="auto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8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  <w:t>岗位代码</w:t>
            </w:r>
          </w:p>
        </w:tc>
        <w:tc>
          <w:tcPr>
            <w:tcW w:w="9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271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  <w:t>学历学位</w:t>
            </w:r>
          </w:p>
        </w:tc>
        <w:tc>
          <w:tcPr>
            <w:tcW w:w="19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</w:pPr>
            <w:r>
              <w:rPr>
                <w:rFonts w:hint="eastAsia" w:eastAsia="仿宋_GB2312"/>
                <w:b/>
                <w:color w:val="auto"/>
                <w:spacing w:val="20"/>
                <w:sz w:val="21"/>
                <w:szCs w:val="21"/>
                <w:highlight w:val="none"/>
              </w:rPr>
              <w:t>技能</w:t>
            </w:r>
          </w:p>
        </w:tc>
        <w:tc>
          <w:tcPr>
            <w:tcW w:w="30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eastAsia="仿宋_GB2312"/>
                <w:b/>
                <w:color w:val="auto"/>
                <w:sz w:val="21"/>
                <w:szCs w:val="21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  <w:t>市科技人才服务中心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业务辅助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  <w:t>第四类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71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行政管理（B120402）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法学类（B0301）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汉语言文学（B050101）软件工程（B080902）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  <w:t>本科学士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  <w:t>1．年龄要求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eastAsia="仿宋_GB2312"/>
                <w:color w:val="auto"/>
                <w:sz w:val="24"/>
                <w:highlight w:val="none"/>
                <w:lang w:val="en-US" w:eastAsia="zh-CN"/>
              </w:rPr>
              <w:t>周岁以下；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非本市户籍需提供本市两年以上工作经历证明（以社保参保时间为准）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 xml:space="preserve">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24"/>
          <w:highlight w:val="none"/>
        </w:rPr>
        <w:t>备注：年龄时间计算截止到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>报名最后1天</w:t>
      </w:r>
      <w:r>
        <w:rPr>
          <w:rFonts w:ascii="Times New Roman" w:hAnsi="Times New Roman" w:eastAsia="仿宋_GB2312" w:cs="Times New Roman"/>
          <w:color w:val="auto"/>
          <w:sz w:val="24"/>
          <w:highlight w:val="none"/>
        </w:rPr>
        <w:t>。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12A24"/>
    <w:rsid w:val="69D1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2024-08-14T09:06:00Z</dcterms:created>
  <dc:creator>hp</dc:creator>
  <cp:lastModifiedBy>hp</cp:lastModifiedBy>
  <dcterms:modified xsi:type="dcterms:W3CDTF">2024-08-14T09:06:55Z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