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21914">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仿宋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附件1</w:t>
      </w:r>
    </w:p>
    <w:p w14:paraId="642B7A4F">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简体" w:cs="Times New Roman"/>
          <w:b/>
          <w:bCs w:val="0"/>
          <w:color w:val="000000"/>
          <w:spacing w:val="0"/>
          <w:sz w:val="44"/>
          <w:szCs w:val="44"/>
          <w:lang w:val="en-US" w:eastAsia="zh-CN"/>
        </w:rPr>
      </w:pPr>
      <w:r>
        <w:rPr>
          <w:rFonts w:hint="default" w:ascii="Times New Roman" w:hAnsi="Times New Roman" w:eastAsia="方正小标宋简体" w:cs="Times New Roman"/>
          <w:b/>
          <w:bCs w:val="0"/>
          <w:color w:val="000000"/>
          <w:spacing w:val="0"/>
          <w:sz w:val="44"/>
          <w:szCs w:val="44"/>
          <w:lang w:val="en-US" w:eastAsia="zh-CN"/>
        </w:rPr>
        <w:t>宜宾市相关市属国有企业简介</w:t>
      </w:r>
    </w:p>
    <w:tbl>
      <w:tblPr>
        <w:tblStyle w:val="5"/>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8386"/>
      </w:tblGrid>
      <w:tr w14:paraId="149E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1202" w:type="dxa"/>
            <w:noWrap w:val="0"/>
            <w:vAlign w:val="center"/>
          </w:tcPr>
          <w:p w14:paraId="2C187009">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bCs w:val="0"/>
                <w:color w:val="000000"/>
                <w:spacing w:val="0"/>
                <w:sz w:val="28"/>
                <w:szCs w:val="28"/>
                <w:vertAlign w:val="baseline"/>
                <w:lang w:val="en-US" w:eastAsia="zh-CN"/>
              </w:rPr>
            </w:pPr>
            <w:r>
              <w:rPr>
                <w:rFonts w:hint="default" w:ascii="Times New Roman" w:hAnsi="Times New Roman" w:eastAsia="黑体" w:cs="Times New Roman"/>
                <w:b/>
                <w:bCs w:val="0"/>
                <w:color w:val="000000"/>
                <w:spacing w:val="0"/>
                <w:sz w:val="28"/>
                <w:szCs w:val="28"/>
                <w:vertAlign w:val="baseline"/>
                <w:lang w:val="en-US" w:eastAsia="zh-CN"/>
              </w:rPr>
              <w:t>单位</w:t>
            </w:r>
          </w:p>
        </w:tc>
        <w:tc>
          <w:tcPr>
            <w:tcW w:w="8386" w:type="dxa"/>
            <w:noWrap w:val="0"/>
            <w:vAlign w:val="center"/>
          </w:tcPr>
          <w:p w14:paraId="3A334C06">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bCs w:val="0"/>
                <w:color w:val="000000"/>
                <w:spacing w:val="0"/>
                <w:sz w:val="28"/>
                <w:szCs w:val="28"/>
                <w:vertAlign w:val="baseline"/>
                <w:lang w:val="en-US" w:eastAsia="zh-CN"/>
              </w:rPr>
            </w:pPr>
            <w:r>
              <w:rPr>
                <w:rFonts w:hint="default" w:ascii="Times New Roman" w:hAnsi="Times New Roman" w:eastAsia="黑体" w:cs="Times New Roman"/>
                <w:b/>
                <w:bCs w:val="0"/>
                <w:color w:val="000000"/>
                <w:spacing w:val="0"/>
                <w:sz w:val="28"/>
                <w:szCs w:val="28"/>
                <w:vertAlign w:val="baseline"/>
                <w:lang w:val="en-US" w:eastAsia="zh-CN"/>
              </w:rPr>
              <w:t>基本情况简介</w:t>
            </w:r>
          </w:p>
        </w:tc>
      </w:tr>
      <w:tr w14:paraId="4FDB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1202" w:type="dxa"/>
            <w:noWrap w:val="0"/>
            <w:vAlign w:val="center"/>
          </w:tcPr>
          <w:p w14:paraId="6965189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sz w:val="28"/>
                <w:szCs w:val="28"/>
                <w:vertAlign w:val="baseline"/>
                <w:lang w:val="en-US" w:eastAsia="zh-CN"/>
              </w:rPr>
            </w:pPr>
            <w:r>
              <w:rPr>
                <w:rFonts w:hint="default" w:ascii="Times New Roman" w:hAnsi="Times New Roman" w:eastAsia="仿宋_GB2312" w:cs="Times New Roman"/>
                <w:b/>
                <w:bCs w:val="0"/>
                <w:color w:val="auto"/>
                <w:spacing w:val="0"/>
                <w:sz w:val="28"/>
                <w:szCs w:val="28"/>
                <w:vertAlign w:val="baseline"/>
                <w:lang w:val="en-US" w:eastAsia="zh-CN"/>
              </w:rPr>
              <w:t>宜宾天原集团股份有限公司</w:t>
            </w:r>
          </w:p>
          <w:p w14:paraId="2D718E6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sz w:val="28"/>
                <w:szCs w:val="28"/>
                <w:vertAlign w:val="baseline"/>
                <w:lang w:val="en-US" w:eastAsia="zh-CN"/>
              </w:rPr>
            </w:pPr>
            <w:r>
              <w:rPr>
                <w:rFonts w:hint="default" w:ascii="Times New Roman" w:hAnsi="Times New Roman" w:eastAsia="仿宋_GB2312" w:cs="Times New Roman"/>
                <w:b/>
                <w:bCs w:val="0"/>
                <w:color w:val="auto"/>
                <w:spacing w:val="0"/>
                <w:sz w:val="28"/>
                <w:szCs w:val="28"/>
                <w:vertAlign w:val="baseline"/>
                <w:lang w:val="en-US" w:eastAsia="zh-CN"/>
              </w:rPr>
              <w:t>（</w:t>
            </w:r>
            <w:r>
              <w:rPr>
                <w:rFonts w:hint="default" w:ascii="Times New Roman" w:hAnsi="Times New Roman" w:eastAsia="仿宋_GB2312" w:cs="Times New Roman"/>
                <w:b/>
                <w:bCs/>
                <w:color w:val="auto"/>
                <w:kern w:val="2"/>
                <w:sz w:val="28"/>
                <w:szCs w:val="28"/>
                <w:lang w:val="en-US" w:eastAsia="zh-CN" w:bidi="ar-SA"/>
              </w:rPr>
              <w:t>股票代码002386</w:t>
            </w:r>
            <w:r>
              <w:rPr>
                <w:rFonts w:hint="default" w:ascii="Times New Roman" w:hAnsi="Times New Roman" w:eastAsia="仿宋_GB2312" w:cs="Times New Roman"/>
                <w:b/>
                <w:bCs w:val="0"/>
                <w:color w:val="auto"/>
                <w:spacing w:val="0"/>
                <w:sz w:val="28"/>
                <w:szCs w:val="28"/>
                <w:vertAlign w:val="baseline"/>
                <w:lang w:val="en-US" w:eastAsia="zh-CN"/>
              </w:rPr>
              <w:t>）</w:t>
            </w:r>
          </w:p>
        </w:tc>
        <w:tc>
          <w:tcPr>
            <w:tcW w:w="8386" w:type="dxa"/>
            <w:noWrap w:val="0"/>
            <w:vAlign w:val="center"/>
          </w:tcPr>
          <w:p w14:paraId="5B5E7DC1">
            <w:pPr>
              <w:pStyle w:val="3"/>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以为美好生活创造科学奇迹为企业使命，致力于创建具有国际竞争力的以新材料新能源产业为核心业务的特大型综合现代企业集团。产业涉及锂电材料、高分子新材料、钛化工、精细化工、资源能源等多个领域，已拥有完整的“资源能源—氯碱化工—化工新材料及新能源电池材料”一体化制造业循环产业链，在加快推动行业绿色高质量可持续发展等方面起到积极示范作用。是国家首批循环经济试点企业、国家首批绿色制造体系绿色工厂示范企业、国家级技术创新示范企业、国家首批能效领跑者标杆企业。</w:t>
            </w:r>
          </w:p>
        </w:tc>
      </w:tr>
      <w:tr w14:paraId="69D9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202" w:type="dxa"/>
            <w:noWrap w:val="0"/>
            <w:vAlign w:val="center"/>
          </w:tcPr>
          <w:p w14:paraId="39191C9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sz w:val="28"/>
                <w:szCs w:val="28"/>
                <w:vertAlign w:val="baseline"/>
                <w:lang w:val="en-US" w:eastAsia="zh-CN"/>
              </w:rPr>
            </w:pPr>
            <w:r>
              <w:rPr>
                <w:rFonts w:hint="default" w:ascii="Times New Roman" w:hAnsi="Times New Roman" w:eastAsia="仿宋_GB2312" w:cs="Times New Roman"/>
                <w:b/>
                <w:bCs w:val="0"/>
                <w:color w:val="auto"/>
                <w:spacing w:val="0"/>
                <w:sz w:val="28"/>
                <w:szCs w:val="28"/>
                <w:vertAlign w:val="baseline"/>
                <w:lang w:val="en-US" w:eastAsia="zh-CN"/>
              </w:rPr>
              <w:t>宜宾丝丽雅集团有限公司</w:t>
            </w:r>
          </w:p>
        </w:tc>
        <w:tc>
          <w:tcPr>
            <w:tcW w:w="8386" w:type="dxa"/>
            <w:noWrap w:val="0"/>
            <w:vAlign w:val="center"/>
          </w:tcPr>
          <w:p w14:paraId="040DDAB5">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以生物基纤维产业为根基，构建了以生物基纤维、房地产开发、供应链贸易、白酒、医疗卫材为主要发展方向的大型综合现代化国有企业集团，资产总额374.44亿元，现有控股企业59家，建有国家级博士后科研工作站，拥有100余项国际领先技术，200余项国内领先技术和近3000项自主知识产权，是行业20多项高新技术群及产品标准的提出者和创建者，企业申请国家专利1800余项，已获授权1400余项，专利实施率达80%以上，是国家级创新型企业、国家级循环经济试点企业、四川省重点骨干企业。</w:t>
            </w:r>
          </w:p>
        </w:tc>
      </w:tr>
      <w:tr w14:paraId="6191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02" w:type="dxa"/>
            <w:noWrap w:val="0"/>
            <w:vAlign w:val="center"/>
          </w:tcPr>
          <w:p w14:paraId="0D4FE16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sz w:val="28"/>
                <w:szCs w:val="28"/>
                <w:vertAlign w:val="baseline"/>
                <w:lang w:val="en-US" w:eastAsia="zh-CN"/>
              </w:rPr>
            </w:pPr>
            <w:r>
              <w:rPr>
                <w:rFonts w:hint="default" w:ascii="Times New Roman" w:hAnsi="Times New Roman" w:eastAsia="仿宋_GB2312" w:cs="Times New Roman"/>
                <w:b/>
                <w:bCs w:val="0"/>
                <w:color w:val="auto"/>
                <w:spacing w:val="0"/>
                <w:sz w:val="28"/>
                <w:szCs w:val="28"/>
                <w:vertAlign w:val="baseline"/>
                <w:lang w:val="en-US" w:eastAsia="zh-CN"/>
              </w:rPr>
              <w:t>宜宾发展控股集团有限公司</w:t>
            </w:r>
          </w:p>
        </w:tc>
        <w:tc>
          <w:tcPr>
            <w:tcW w:w="8386" w:type="dxa"/>
            <w:noWrap w:val="0"/>
            <w:vAlign w:val="center"/>
          </w:tcPr>
          <w:p w14:paraId="304BF282">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kern w:val="2"/>
                <w:sz w:val="28"/>
                <w:szCs w:val="28"/>
                <w:lang w:val="en-US" w:eastAsia="zh-CN" w:bidi="ar-SA"/>
              </w:rPr>
              <w:t>宜宾市国有资本投融资及综合运营管理平台和综合金融服务平台，注册资本50亿元，资产规模5200余亿元，由宜宾市国资委持股90%、四川省财政厅持股10%，参控股有五粮液、天原集团等企业44户，自2016年起稳定保持AAA主体信用等级，是中西部地区第一家获得最高评级的地市级功能性企业，拥有中国银行间市场交易商协会头部企业多品种债务融资工具（TDFI）资质，是中西部第一家取得该资质的地市级国有企业，自2020年度起连续四年被中央结算公司评为优秀企业债发行机构。</w:t>
            </w:r>
          </w:p>
        </w:tc>
      </w:tr>
      <w:tr w14:paraId="6AF9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202" w:type="dxa"/>
            <w:noWrap w:val="0"/>
            <w:vAlign w:val="center"/>
          </w:tcPr>
          <w:p w14:paraId="66AA77AD">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sz w:val="28"/>
                <w:szCs w:val="28"/>
                <w:vertAlign w:val="baseline"/>
                <w:lang w:val="en-US" w:eastAsia="zh-CN"/>
              </w:rPr>
            </w:pPr>
            <w:r>
              <w:rPr>
                <w:rFonts w:hint="default" w:ascii="Times New Roman" w:hAnsi="Times New Roman" w:eastAsia="仿宋_GB2312" w:cs="Times New Roman"/>
                <w:b/>
                <w:bCs w:val="0"/>
                <w:color w:val="auto"/>
                <w:spacing w:val="0"/>
                <w:sz w:val="28"/>
                <w:szCs w:val="28"/>
                <w:vertAlign w:val="baseline"/>
                <w:lang w:val="en-US" w:eastAsia="zh-CN"/>
              </w:rPr>
              <w:t>宜宾市商业银行股份有限公司</w:t>
            </w:r>
          </w:p>
        </w:tc>
        <w:tc>
          <w:tcPr>
            <w:tcW w:w="8386" w:type="dxa"/>
            <w:noWrap w:val="0"/>
            <w:vAlign w:val="center"/>
          </w:tcPr>
          <w:p w14:paraId="2B81C863">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宜宾市政府控股的地方性法人金融机构，全力打造地方政府伙伴银行、数字化供应链小微银行和特色化优质服务银行。注册资本39亿元，列四川省城商行前列、市级城商行第一。资本充足率、不良贷款率、拨备覆盖率等核心监管指标优于全国平均水平，获评四川省“优秀服务业企业”100强、四川省“诚信企业”，连续四年名列宜宾银行业金融机构综合评价第一名。</w:t>
            </w:r>
          </w:p>
        </w:tc>
      </w:tr>
      <w:tr w14:paraId="17F4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1202" w:type="dxa"/>
            <w:noWrap w:val="0"/>
            <w:vAlign w:val="center"/>
          </w:tcPr>
          <w:p w14:paraId="4902144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kern w:val="2"/>
                <w:sz w:val="28"/>
                <w:szCs w:val="28"/>
                <w:vertAlign w:val="baseline"/>
                <w:lang w:val="en-US" w:eastAsia="zh-CN" w:bidi="ar-SA"/>
              </w:rPr>
            </w:pPr>
            <w:r>
              <w:rPr>
                <w:rFonts w:hint="default" w:ascii="Times New Roman" w:hAnsi="Times New Roman" w:eastAsia="仿宋_GB2312" w:cs="Times New Roman"/>
                <w:b/>
                <w:bCs w:val="0"/>
                <w:color w:val="auto"/>
                <w:spacing w:val="0"/>
                <w:kern w:val="2"/>
                <w:sz w:val="28"/>
                <w:szCs w:val="28"/>
                <w:vertAlign w:val="baseline"/>
                <w:lang w:val="en-US" w:eastAsia="zh-CN" w:bidi="ar-SA"/>
              </w:rPr>
              <w:t>宜宾市高新投资集团有限公司</w:t>
            </w:r>
          </w:p>
        </w:tc>
        <w:tc>
          <w:tcPr>
            <w:tcW w:w="8386" w:type="dxa"/>
            <w:noWrap w:val="0"/>
            <w:vAlign w:val="center"/>
          </w:tcPr>
          <w:p w14:paraId="10949509">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重点服务宜宾高新区打造国家级晶硅光伏产业集群、创建国家级高新区的国有企业，注册资本20亿元，聚焦“晶硅光伏、新材料、智能制造、轻食品”等绿色主导产业，主要开展宜宾高新区开发运营、资本招商、产业孵化、特许经营等业务。宜宾高新区规划建设开发面积26.5平方公里，已入驻英发德耀、四川高景、和光同程等一批晶硅光伏龙头企业，己建成沿江片区商务中心等重大项目，全面推进菜坝片区开发。</w:t>
            </w:r>
          </w:p>
        </w:tc>
      </w:tr>
      <w:tr w14:paraId="04D2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202" w:type="dxa"/>
            <w:noWrap w:val="0"/>
            <w:vAlign w:val="center"/>
          </w:tcPr>
          <w:p w14:paraId="76D75E6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kern w:val="2"/>
                <w:sz w:val="28"/>
                <w:szCs w:val="28"/>
                <w:vertAlign w:val="baseline"/>
                <w:lang w:val="en-US" w:eastAsia="zh-CN" w:bidi="ar-SA"/>
              </w:rPr>
            </w:pPr>
            <w:r>
              <w:rPr>
                <w:rFonts w:hint="default" w:ascii="Times New Roman" w:hAnsi="Times New Roman" w:eastAsia="仿宋_GB2312" w:cs="Times New Roman"/>
                <w:b/>
                <w:bCs w:val="0"/>
                <w:color w:val="auto"/>
                <w:spacing w:val="0"/>
                <w:kern w:val="2"/>
                <w:sz w:val="28"/>
                <w:szCs w:val="28"/>
                <w:vertAlign w:val="baseline"/>
                <w:lang w:val="en-US" w:eastAsia="zh-CN" w:bidi="ar-SA"/>
              </w:rPr>
              <w:t>宜宾发展产城投资有限公司</w:t>
            </w:r>
          </w:p>
        </w:tc>
        <w:tc>
          <w:tcPr>
            <w:tcW w:w="8386" w:type="dxa"/>
            <w:noWrap w:val="0"/>
            <w:vAlign w:val="center"/>
          </w:tcPr>
          <w:p w14:paraId="549F6709">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坚持“产城人融合发展”和“策规一体”，全面重点参与高铁南片区12.3平方公里“投融建运”工作，公司资产总额53.51亿元，项目总投资530亿元、已完成投资70.24亿元，招引入驻数字经济企业80余家，推动高铁南片区形成“3+2”产业发展格局，站前片区已引入华润万象生活商业和万豪集团旗下酒店，推动形成商务中心、“三江视界”数字媒体、“仁城·澜峰”、“产城·星寓”等7个运营服务品牌。</w:t>
            </w:r>
          </w:p>
        </w:tc>
      </w:tr>
      <w:tr w14:paraId="4FA3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202" w:type="dxa"/>
            <w:noWrap w:val="0"/>
            <w:vAlign w:val="center"/>
          </w:tcPr>
          <w:p w14:paraId="516ABA2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kern w:val="2"/>
                <w:sz w:val="28"/>
                <w:szCs w:val="28"/>
                <w:lang w:val="en-US" w:eastAsia="zh-CN" w:bidi="ar-SA"/>
              </w:rPr>
            </w:pPr>
            <w:r>
              <w:rPr>
                <w:rFonts w:hint="default" w:ascii="Times New Roman" w:hAnsi="Times New Roman" w:eastAsia="仿宋_GB2312" w:cs="Times New Roman"/>
                <w:b/>
                <w:bCs w:val="0"/>
                <w:color w:val="auto"/>
                <w:spacing w:val="0"/>
                <w:kern w:val="2"/>
                <w:sz w:val="28"/>
                <w:szCs w:val="28"/>
                <w:lang w:val="en-US" w:eastAsia="zh-CN" w:bidi="ar-SA"/>
              </w:rPr>
              <w:t>宜宾市新兴产业投资集团有限公司</w:t>
            </w:r>
          </w:p>
        </w:tc>
        <w:tc>
          <w:tcPr>
            <w:tcW w:w="8386" w:type="dxa"/>
            <w:noWrap w:val="0"/>
            <w:vAlign w:val="center"/>
          </w:tcPr>
          <w:p w14:paraId="21CDEAB2">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kern w:val="2"/>
                <w:sz w:val="28"/>
                <w:szCs w:val="28"/>
                <w:lang w:val="en-US" w:eastAsia="zh-CN" w:bidi="ar-SA"/>
              </w:rPr>
              <w:t>成立于2017年3月，注册资本50亿元，主体信用评级为AA。公司以资本运作为基石，按照“直投建链、强链”+“市场化基金延链、补链”为总体投资逻辑，聚焦动力电池、高端装备制造、数字经济、新材料等新兴产业，开展项目投资和培育、资产管理与运营等业务。力争到2025年末，实现基金总规模达200亿元、投资上市公司数量达10户、主体信用评级达AA+，合并总资产超过500亿元、营业收入达100亿元，成为赋能区域发展的一流产业集团。</w:t>
            </w:r>
          </w:p>
        </w:tc>
      </w:tr>
      <w:tr w14:paraId="6761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202" w:type="dxa"/>
            <w:noWrap w:val="0"/>
            <w:vAlign w:val="center"/>
          </w:tcPr>
          <w:p w14:paraId="1F64F5F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宜宾市科教产业投资集团有限公司</w:t>
            </w:r>
          </w:p>
        </w:tc>
        <w:tc>
          <w:tcPr>
            <w:tcW w:w="8386" w:type="dxa"/>
            <w:noWrap w:val="0"/>
            <w:vAlign w:val="center"/>
          </w:tcPr>
          <w:p w14:paraId="2ED163CF">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注册资本金32.28亿元，聚焦“科教”内涵，整合“双城”资源，构建以“科创服务、教育服务、配套服务”为核心的“2+1”业务体系，通过科创服务构建宜宾科技发展高地，助力宜宾产业迭代升级，通过教育服务提升巩固宜宾产业高质量发展的人力资源基础，保障产业人才供给，通过配套服务推进宜宾产业完善和发展环境优化，进一步提升科技创新服务水平，着力打造“科技创新服务生态圈”和“教育服务生态圈”，推动创新链、产业链、资金链、人才链深度融合，探索由“硬件”为主向“软件”为主、从“建设商”向“运营商”的转型，加快发展成为西部领先的科教产业综合服务集团。</w:t>
            </w:r>
          </w:p>
        </w:tc>
      </w:tr>
      <w:tr w14:paraId="68B4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1202" w:type="dxa"/>
            <w:noWrap w:val="0"/>
            <w:vAlign w:val="center"/>
          </w:tcPr>
          <w:p w14:paraId="63421E59">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kern w:val="2"/>
                <w:sz w:val="28"/>
                <w:szCs w:val="28"/>
                <w:vertAlign w:val="baseline"/>
                <w:lang w:val="en-US" w:eastAsia="zh-CN" w:bidi="ar-SA"/>
              </w:rPr>
            </w:pPr>
            <w:r>
              <w:rPr>
                <w:rFonts w:hint="default" w:ascii="Times New Roman" w:hAnsi="Times New Roman" w:eastAsia="仿宋_GB2312" w:cs="Times New Roman"/>
                <w:b/>
                <w:bCs w:val="0"/>
                <w:color w:val="auto"/>
                <w:spacing w:val="0"/>
                <w:kern w:val="2"/>
                <w:sz w:val="28"/>
                <w:szCs w:val="28"/>
                <w:vertAlign w:val="baseline"/>
                <w:lang w:val="en-US" w:eastAsia="zh-CN" w:bidi="ar-SA"/>
              </w:rPr>
              <w:t>宜宾市城市和交通建设投资集团有限公司</w:t>
            </w:r>
          </w:p>
        </w:tc>
        <w:tc>
          <w:tcPr>
            <w:tcW w:w="8386" w:type="dxa"/>
            <w:noWrap w:val="0"/>
            <w:vAlign w:val="center"/>
          </w:tcPr>
          <w:p w14:paraId="02ED8AFC">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kern w:val="2"/>
                <w:sz w:val="28"/>
                <w:szCs w:val="28"/>
                <w:lang w:val="en-US" w:eastAsia="zh-CN" w:bidi="ar-SA"/>
              </w:rPr>
              <w:t>发展定位为宜宾城市和交通投资、建设、运营集团，主要承担宜宾城市和交通基础设施投资建设、公共配套设施投资建设及城市区域综合开发等任务，布局有城市和交通重大项目投资建设、乡村振兴、城市区域综合开发、建筑施工及工程设计咨询与供应链贸易、绿色建材、资产运营、新能源和汽车“4+4”产业。集团资产总额483亿元，信用评级AA+，全资及控股子公司44家，参股子公司22家，拥有建筑、市政2个一级总承包资质，公路、水利水电3个二级总承包资质。</w:t>
            </w:r>
          </w:p>
        </w:tc>
      </w:tr>
      <w:tr w14:paraId="1E67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202" w:type="dxa"/>
            <w:noWrap w:val="0"/>
            <w:vAlign w:val="center"/>
          </w:tcPr>
          <w:p w14:paraId="3DB2EB2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kern w:val="2"/>
                <w:sz w:val="28"/>
                <w:szCs w:val="28"/>
                <w:vertAlign w:val="baseline"/>
                <w:lang w:val="en-US" w:eastAsia="zh-CN" w:bidi="ar-SA"/>
              </w:rPr>
            </w:pPr>
            <w:r>
              <w:rPr>
                <w:rFonts w:hint="default" w:ascii="Times New Roman" w:hAnsi="Times New Roman" w:eastAsia="仿宋_GB2312" w:cs="Times New Roman"/>
                <w:b/>
                <w:bCs w:val="0"/>
                <w:color w:val="auto"/>
                <w:spacing w:val="0"/>
                <w:kern w:val="2"/>
                <w:sz w:val="28"/>
                <w:szCs w:val="28"/>
                <w:vertAlign w:val="baseline"/>
                <w:lang w:val="en-US" w:eastAsia="zh-CN" w:bidi="ar-SA"/>
              </w:rPr>
              <w:t>四川长江担保集团有限公司</w:t>
            </w:r>
          </w:p>
        </w:tc>
        <w:tc>
          <w:tcPr>
            <w:tcW w:w="8386" w:type="dxa"/>
            <w:noWrap w:val="0"/>
            <w:vAlign w:val="center"/>
          </w:tcPr>
          <w:p w14:paraId="0E31EC3E">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宜宾市属一级国有骨干金融企业集团，注册资本13.59亿元，资产总额26亿元，控股四川长江民营经济融资担保公司、宜宾市农业融资担保公司、宜宾和正融资担保公司3家子公司。核心子公司四川长江民营经济融资担保公司是国有全资担保机构，中国融资担保业协会会员单位，四川省融资担保业协会理事单位，AA+信用等级，四川省融资担保协会A级评价，在四川省83家政府性融资担保机构中综合排名全省第三。</w:t>
            </w:r>
          </w:p>
        </w:tc>
      </w:tr>
      <w:tr w14:paraId="487C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202" w:type="dxa"/>
            <w:noWrap w:val="0"/>
            <w:vAlign w:val="center"/>
          </w:tcPr>
          <w:p w14:paraId="7660B26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kern w:val="2"/>
                <w:sz w:val="28"/>
                <w:szCs w:val="28"/>
                <w:vertAlign w:val="baseline"/>
                <w:lang w:val="en-US" w:eastAsia="zh-CN" w:bidi="ar-SA"/>
              </w:rPr>
            </w:pPr>
            <w:r>
              <w:rPr>
                <w:rFonts w:hint="default" w:ascii="Times New Roman" w:hAnsi="Times New Roman" w:eastAsia="仿宋_GB2312" w:cs="Times New Roman"/>
                <w:b/>
                <w:bCs w:val="0"/>
                <w:color w:val="auto"/>
                <w:spacing w:val="0"/>
                <w:kern w:val="2"/>
                <w:sz w:val="28"/>
                <w:szCs w:val="28"/>
                <w:vertAlign w:val="baseline"/>
                <w:lang w:val="en-US" w:eastAsia="zh-CN" w:bidi="ar-SA"/>
              </w:rPr>
              <w:t>四川酒业茶业投资集团有限公司</w:t>
            </w:r>
          </w:p>
        </w:tc>
        <w:tc>
          <w:tcPr>
            <w:tcW w:w="8386" w:type="dxa"/>
            <w:noWrap w:val="0"/>
            <w:vAlign w:val="center"/>
          </w:tcPr>
          <w:p w14:paraId="757A23AB">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kern w:val="2"/>
                <w:sz w:val="28"/>
                <w:szCs w:val="28"/>
                <w:lang w:val="en-US" w:eastAsia="zh-CN" w:bidi="ar-SA"/>
              </w:rPr>
              <w:t>遵照省委、省政府擦亮“川酒”“川茶”金字招牌，宜宾市委、市政府“产业发展双轮驱动”战略和“做强、做优、做大酒产业、茶产业，着力构建一体多级发展格局”的总体要求，聚力整合宜宾乃至四川酒、茶优质资源，注册资本8亿元，主营白酒、茶叶等特色优势产业及其相关生产性服务业投资，全力打造世界级白酒产业和茶产业集群，培育更多“川酒”“川茶”品牌。</w:t>
            </w:r>
          </w:p>
        </w:tc>
      </w:tr>
      <w:tr w14:paraId="4A4F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202" w:type="dxa"/>
            <w:noWrap w:val="0"/>
            <w:vAlign w:val="center"/>
          </w:tcPr>
          <w:p w14:paraId="5529AA97">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四川蜀南文化旅游健康产业投资集团有限公司</w:t>
            </w:r>
          </w:p>
        </w:tc>
        <w:tc>
          <w:tcPr>
            <w:tcW w:w="8386" w:type="dxa"/>
            <w:noWrap w:val="0"/>
            <w:vAlign w:val="center"/>
          </w:tcPr>
          <w:p w14:paraId="49FD2553">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承担宜宾市加快建成文化旅游强市和国际旅游休闲目的地的战略使命，聚焦文旅资源开发、商旅服务供应、文创产品智造、景区综合运营，是拥有“完整产业链条、完备投资体系、优秀高效团队、合理人才结构、先进管理能力”的综合性、多元化文化、旅游、健康产业区域龙头国有企业。</w:t>
            </w:r>
          </w:p>
        </w:tc>
      </w:tr>
      <w:tr w14:paraId="6A63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202" w:type="dxa"/>
            <w:noWrap w:val="0"/>
            <w:vAlign w:val="center"/>
          </w:tcPr>
          <w:p w14:paraId="32F579B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0000FF"/>
                <w:spacing w:val="0"/>
                <w:kern w:val="2"/>
                <w:sz w:val="28"/>
                <w:szCs w:val="28"/>
                <w:vertAlign w:val="baseline"/>
                <w:lang w:val="en-US" w:eastAsia="zh-CN" w:bidi="ar-SA"/>
              </w:rPr>
            </w:pPr>
            <w:r>
              <w:rPr>
                <w:rFonts w:hint="default" w:ascii="Times New Roman" w:hAnsi="Times New Roman" w:eastAsia="仿宋_GB2312" w:cs="Times New Roman"/>
                <w:b/>
                <w:bCs/>
                <w:color w:val="auto"/>
                <w:sz w:val="28"/>
                <w:szCs w:val="28"/>
                <w:lang w:val="en-US" w:eastAsia="zh-CN"/>
              </w:rPr>
              <w:t>宜宾传媒集团有限公司</w:t>
            </w:r>
          </w:p>
        </w:tc>
        <w:tc>
          <w:tcPr>
            <w:tcW w:w="8386" w:type="dxa"/>
            <w:noWrap w:val="0"/>
            <w:vAlign w:val="center"/>
          </w:tcPr>
          <w:p w14:paraId="3830198A">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b/>
                <w:bCs/>
                <w:color w:val="0000FF"/>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以传媒产业为主的文化产业领域投资、融资、建设、管理、运营主体。集团紧扣移动优先策略，集中力量打造以宜人宜宾客户端为主，广播、电视、报纸“三大传统媒介”为支撑，微信微博、抖音、视频号、小红书等第三方平台为补充的“1+3+N”全媒体传播矩阵，形成“新闻+政务服务商务”产业发展体系，打造四川一流、西部领先的地市级传媒行业龙头企业。</w:t>
            </w:r>
          </w:p>
        </w:tc>
      </w:tr>
    </w:tbl>
    <w:p w14:paraId="32EACFF6">
      <w:r>
        <w:rPr>
          <w:rFonts w:hint="default" w:ascii="Times New Roman" w:hAnsi="Times New Roman" w:eastAsia="黑体" w:cs="Times New Roman"/>
          <w:b/>
          <w:bCs w:val="0"/>
          <w:color w:val="auto"/>
          <w:spacing w:val="0"/>
          <w:kern w:val="2"/>
          <w:sz w:val="32"/>
          <w:szCs w:val="32"/>
          <w:lang w:val="en-US" w:eastAsia="zh-CN" w:bidi="ar-SA"/>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1BDF71F4"/>
    <w:rsid w:val="1BDF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next w:val="1"/>
    <w:qFormat/>
    <w:uiPriority w:val="99"/>
    <w:pPr>
      <w:widowControl w:val="0"/>
      <w:ind w:left="420" w:leftChars="200"/>
      <w:jc w:val="both"/>
    </w:pPr>
    <w:rPr>
      <w:rFonts w:ascii="Calibri" w:hAnsi="Calibri" w:eastAsia="宋体" w:cs="Times New Roman"/>
      <w:kern w:val="2"/>
      <w:sz w:val="21"/>
      <w:szCs w:val="24"/>
      <w:lang w:val="en-US" w:eastAsia="zh-CN" w:bidi="ar-SA"/>
    </w:rPr>
  </w:style>
  <w:style w:type="paragraph" w:styleId="3">
    <w:name w:val="Body Text"/>
    <w:basedOn w:val="1"/>
    <w:qFormat/>
    <w:uiPriority w:val="0"/>
    <w:pPr>
      <w:spacing w:before="0" w:after="140" w:line="276" w:lineRule="auto"/>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2024-09-03T01:30:00Z</dcterms:created>
  <dc:creator>Primadonna</dc:creator>
  <cp:lastModifiedBy>Primadonna</cp:lastModifiedBy>
  <dcterms:modified xsi:type="dcterms:W3CDTF">2024-09-03T01:30:40Z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8FD9284DAADA4FC5BC8D434CE574D2DA_11</vt:lpwstr>
  </property>
</Properties>
</file>