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2176">
      <w:pPr>
        <w:jc w:val="left"/>
        <w:rPr>
          <w:rFonts w:hint="eastAsia" w:ascii="黑体" w:hAnsi="黑体" w:eastAsia="黑体" w:cs="黑体"/>
          <w:b w:val="0"/>
          <w:spacing w:val="-17"/>
          <w:sz w:val="28"/>
          <w:szCs w:val="28"/>
          <w:lang w:val="en-US" w:eastAsia="zh-CN"/>
        </w:rPr>
      </w:pPr>
      <w:r>
        <w:rPr>
          <w:rFonts w:hint="eastAsia" w:ascii="黑体" w:hAnsi="黑体" w:eastAsia="黑体" w:cs="黑体"/>
          <w:b w:val="0"/>
          <w:spacing w:val="-17"/>
          <w:sz w:val="28"/>
          <w:szCs w:val="28"/>
          <w:lang w:eastAsia="zh-CN"/>
        </w:rPr>
        <w:t>附件</w:t>
      </w:r>
      <w:r>
        <w:rPr>
          <w:rFonts w:hint="eastAsia" w:ascii="黑体" w:hAnsi="黑体" w:eastAsia="黑体" w:cs="黑体"/>
          <w:b w:val="0"/>
          <w:spacing w:val="-17"/>
          <w:sz w:val="28"/>
          <w:szCs w:val="28"/>
          <w:lang w:val="en-US" w:eastAsia="zh-CN"/>
        </w:rPr>
        <w:t>2：</w:t>
      </w:r>
    </w:p>
    <w:p w14:paraId="5A922841">
      <w:pPr>
        <w:jc w:val="center"/>
        <w:rPr>
          <w:rFonts w:hint="eastAsia" w:ascii="方正小标宋简体" w:hAnsi="黑体" w:eastAsia="方正小标宋简体"/>
          <w:b w:val="0"/>
          <w:spacing w:val="0"/>
          <w:sz w:val="36"/>
          <w:szCs w:val="36"/>
          <w:lang w:val="en-US" w:eastAsia="zh-CN"/>
        </w:rPr>
      </w:pPr>
      <w:r>
        <w:rPr>
          <w:rFonts w:hint="eastAsia" w:ascii="方正小标宋简体" w:hAnsi="黑体" w:eastAsia="方正小标宋简体"/>
          <w:b w:val="0"/>
          <w:spacing w:val="0"/>
          <w:sz w:val="32"/>
          <w:szCs w:val="32"/>
        </w:rPr>
        <w:t>2024年</w:t>
      </w:r>
      <w:r>
        <w:rPr>
          <w:rFonts w:hint="eastAsia" w:ascii="方正小标宋简体" w:hAnsi="黑体" w:eastAsia="方正小标宋简体"/>
          <w:b w:val="0"/>
          <w:spacing w:val="0"/>
          <w:sz w:val="32"/>
          <w:szCs w:val="32"/>
          <w:lang w:eastAsia="zh-CN"/>
        </w:rPr>
        <w:t>度</w:t>
      </w:r>
      <w:r>
        <w:rPr>
          <w:rFonts w:hint="eastAsia" w:ascii="方正小标宋简体" w:hAnsi="黑体" w:eastAsia="方正小标宋简体"/>
          <w:b w:val="0"/>
          <w:spacing w:val="0"/>
          <w:sz w:val="32"/>
          <w:szCs w:val="32"/>
          <w:lang w:val="en-US" w:eastAsia="zh-CN"/>
        </w:rPr>
        <w:t>奈曼旗</w:t>
      </w:r>
      <w:r>
        <w:rPr>
          <w:rFonts w:hint="eastAsia" w:ascii="方正小标宋简体" w:hAnsi="黑体" w:eastAsia="方正小标宋简体"/>
          <w:b w:val="0"/>
          <w:spacing w:val="0"/>
          <w:sz w:val="32"/>
          <w:szCs w:val="32"/>
          <w:lang w:eastAsia="zh-CN"/>
        </w:rPr>
        <w:t>事业单位人才</w:t>
      </w:r>
      <w:r>
        <w:rPr>
          <w:rFonts w:hint="eastAsia" w:ascii="方正小标宋简体" w:hAnsi="黑体" w:eastAsia="方正小标宋简体"/>
          <w:b w:val="0"/>
          <w:spacing w:val="0"/>
          <w:sz w:val="32"/>
          <w:szCs w:val="32"/>
        </w:rPr>
        <w:t>引进人才评价表</w:t>
      </w:r>
    </w:p>
    <w:p w14:paraId="411E0D76">
      <w:pPr>
        <w:jc w:val="both"/>
        <w:rPr>
          <w:rFonts w:ascii="方正小标宋简体" w:hAnsi="黑体" w:eastAsia="方正小标宋简体"/>
          <w:b w:val="0"/>
          <w:sz w:val="36"/>
          <w:szCs w:val="36"/>
        </w:rPr>
      </w:pPr>
      <w:r>
        <w:rPr>
          <w:rFonts w:hint="eastAsia" w:ascii="方正小标宋简体" w:hAnsi="黑体" w:eastAsia="方正小标宋简体"/>
          <w:b w:val="0"/>
          <w:sz w:val="24"/>
          <w:szCs w:val="24"/>
          <w:lang w:eastAsia="zh-CN"/>
        </w:rPr>
        <w:t>报考单位：</w:t>
      </w:r>
      <w:r>
        <w:rPr>
          <w:rFonts w:hint="eastAsia" w:ascii="方正小标宋简体" w:hAnsi="黑体" w:eastAsia="方正小标宋简体"/>
          <w:b w:val="0"/>
          <w:sz w:val="24"/>
          <w:szCs w:val="24"/>
          <w:u w:val="single"/>
          <w:lang w:val="en-US" w:eastAsia="zh-CN"/>
        </w:rPr>
        <w:t xml:space="preserve">               </w:t>
      </w:r>
      <w:r>
        <w:rPr>
          <w:rFonts w:hint="eastAsia" w:ascii="方正小标宋简体" w:hAnsi="黑体" w:eastAsia="方正小标宋简体"/>
          <w:b w:val="0"/>
          <w:sz w:val="24"/>
          <w:szCs w:val="24"/>
          <w:u w:val="none"/>
          <w:lang w:val="en-US" w:eastAsia="zh-CN"/>
        </w:rPr>
        <w:t xml:space="preserve"> 报考岗位：</w:t>
      </w:r>
      <w:r>
        <w:rPr>
          <w:rFonts w:hint="eastAsia" w:ascii="方正小标宋简体" w:hAnsi="黑体" w:eastAsia="方正小标宋简体"/>
          <w:b w:val="0"/>
          <w:sz w:val="24"/>
          <w:szCs w:val="24"/>
          <w:u w:val="single"/>
          <w:lang w:val="en-US" w:eastAsia="zh-CN"/>
        </w:rPr>
        <w:t xml:space="preserve">              </w:t>
      </w:r>
      <w:r>
        <w:rPr>
          <w:rFonts w:hint="eastAsia" w:ascii="方正小标宋简体" w:hAnsi="黑体" w:eastAsia="方正小标宋简体"/>
          <w:b w:val="0"/>
          <w:sz w:val="24"/>
          <w:szCs w:val="24"/>
          <w:u w:val="none"/>
          <w:lang w:val="en-US" w:eastAsia="zh-CN"/>
        </w:rPr>
        <w:t xml:space="preserve">   </w:t>
      </w:r>
      <w:r>
        <w:rPr>
          <w:rFonts w:hint="eastAsia" w:ascii="方正小标宋简体" w:hAnsi="黑体" w:eastAsia="方正小标宋简体"/>
          <w:b w:val="0"/>
          <w:sz w:val="24"/>
          <w:szCs w:val="24"/>
          <w:lang w:val="en-US" w:eastAsia="zh-CN"/>
        </w:rPr>
        <w:t>自评得分：</w:t>
      </w:r>
      <w:r>
        <w:rPr>
          <w:rFonts w:hint="eastAsia" w:ascii="方正小标宋简体" w:hAnsi="黑体" w:eastAsia="方正小标宋简体"/>
          <w:b w:val="0"/>
          <w:sz w:val="24"/>
          <w:szCs w:val="24"/>
          <w:u w:val="single"/>
          <w:lang w:val="en-US" w:eastAsia="zh-CN"/>
        </w:rPr>
        <w:t xml:space="preserve">          </w:t>
      </w:r>
      <w:r>
        <w:rPr>
          <w:rFonts w:hint="eastAsia" w:ascii="方正小标宋简体" w:hAnsi="黑体" w:eastAsia="方正小标宋简体"/>
          <w:b w:val="0"/>
          <w:sz w:val="24"/>
          <w:szCs w:val="24"/>
          <w:u w:val="none"/>
          <w:lang w:val="en-US" w:eastAsia="zh-CN"/>
        </w:rPr>
        <w:t xml:space="preserve">  </w:t>
      </w:r>
      <w:r>
        <w:rPr>
          <w:rFonts w:hint="eastAsia" w:ascii="方正小标宋简体" w:hAnsi="黑体" w:eastAsia="方正小标宋简体"/>
          <w:b w:val="0"/>
          <w:sz w:val="24"/>
          <w:szCs w:val="24"/>
          <w:lang w:val="en-US" w:eastAsia="zh-CN"/>
        </w:rPr>
        <w:t xml:space="preserve">复核得分： </w:t>
      </w:r>
      <w:r>
        <w:rPr>
          <w:rFonts w:hint="eastAsia" w:ascii="方正小标宋简体" w:hAnsi="黑体" w:eastAsia="方正小标宋简体"/>
          <w:b w:val="0"/>
          <w:sz w:val="24"/>
          <w:szCs w:val="24"/>
          <w:u w:val="single"/>
          <w:lang w:val="en-US" w:eastAsia="zh-CN"/>
        </w:rPr>
        <w:t xml:space="preserve">           </w:t>
      </w:r>
    </w:p>
    <w:tbl>
      <w:tblPr>
        <w:tblStyle w:val="3"/>
        <w:tblW w:w="9046" w:type="dxa"/>
        <w:jc w:val="center"/>
        <w:tblLayout w:type="fixed"/>
        <w:tblCellMar>
          <w:top w:w="0" w:type="dxa"/>
          <w:left w:w="108" w:type="dxa"/>
          <w:bottom w:w="0" w:type="dxa"/>
          <w:right w:w="108" w:type="dxa"/>
        </w:tblCellMar>
      </w:tblPr>
      <w:tblGrid>
        <w:gridCol w:w="655"/>
        <w:gridCol w:w="687"/>
        <w:gridCol w:w="5588"/>
        <w:gridCol w:w="675"/>
        <w:gridCol w:w="775"/>
        <w:gridCol w:w="666"/>
      </w:tblGrid>
      <w:tr w14:paraId="2DF3083A">
        <w:tblPrEx>
          <w:tblCellMar>
            <w:top w:w="0" w:type="dxa"/>
            <w:left w:w="108" w:type="dxa"/>
            <w:bottom w:w="0" w:type="dxa"/>
            <w:right w:w="108" w:type="dxa"/>
          </w:tblCellMar>
        </w:tblPrEx>
        <w:trPr>
          <w:trHeight w:val="611" w:hRule="atLeast"/>
          <w:jc w:val="cent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5B32100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评价类别</w:t>
            </w:r>
          </w:p>
        </w:tc>
        <w:tc>
          <w:tcPr>
            <w:tcW w:w="687" w:type="dxa"/>
            <w:tcBorders>
              <w:top w:val="single" w:color="auto" w:sz="4" w:space="0"/>
              <w:left w:val="nil"/>
              <w:bottom w:val="single" w:color="auto" w:sz="4" w:space="0"/>
              <w:right w:val="single" w:color="auto" w:sz="4" w:space="0"/>
            </w:tcBorders>
            <w:shd w:val="clear" w:color="auto" w:fill="auto"/>
            <w:vAlign w:val="center"/>
          </w:tcPr>
          <w:p w14:paraId="171056A0">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w:t>
            </w:r>
          </w:p>
          <w:p w14:paraId="501C5C9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项目</w:t>
            </w:r>
          </w:p>
        </w:tc>
        <w:tc>
          <w:tcPr>
            <w:tcW w:w="5588" w:type="dxa"/>
            <w:tcBorders>
              <w:top w:val="single" w:color="auto" w:sz="4" w:space="0"/>
              <w:left w:val="nil"/>
              <w:bottom w:val="single" w:color="auto" w:sz="4" w:space="0"/>
              <w:right w:val="single" w:color="auto" w:sz="4" w:space="0"/>
            </w:tcBorders>
            <w:shd w:val="clear" w:color="auto" w:fill="auto"/>
            <w:vAlign w:val="center"/>
          </w:tcPr>
          <w:p w14:paraId="2DE60AD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赋分标准</w:t>
            </w:r>
          </w:p>
        </w:tc>
        <w:tc>
          <w:tcPr>
            <w:tcW w:w="675" w:type="dxa"/>
            <w:tcBorders>
              <w:top w:val="single" w:color="auto" w:sz="4" w:space="0"/>
              <w:left w:val="nil"/>
              <w:bottom w:val="single" w:color="auto" w:sz="4" w:space="0"/>
              <w:right w:val="single" w:color="auto" w:sz="4" w:space="0"/>
            </w:tcBorders>
            <w:shd w:val="clear" w:color="auto" w:fill="auto"/>
            <w:vAlign w:val="center"/>
          </w:tcPr>
          <w:p w14:paraId="26B7737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w:t>
            </w:r>
          </w:p>
          <w:p w14:paraId="6D113F3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总分</w:t>
            </w:r>
          </w:p>
        </w:tc>
        <w:tc>
          <w:tcPr>
            <w:tcW w:w="775" w:type="dxa"/>
            <w:tcBorders>
              <w:top w:val="single" w:color="auto" w:sz="4" w:space="0"/>
              <w:left w:val="nil"/>
              <w:bottom w:val="single" w:color="auto" w:sz="4" w:space="0"/>
              <w:right w:val="single" w:color="auto" w:sz="4" w:space="0"/>
            </w:tcBorders>
            <w:shd w:val="clear" w:color="auto" w:fill="auto"/>
            <w:vAlign w:val="center"/>
          </w:tcPr>
          <w:p w14:paraId="0D97085C">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自评得分项</w:t>
            </w:r>
          </w:p>
        </w:tc>
        <w:tc>
          <w:tcPr>
            <w:tcW w:w="666" w:type="dxa"/>
            <w:tcBorders>
              <w:top w:val="single" w:color="auto" w:sz="4" w:space="0"/>
              <w:left w:val="nil"/>
              <w:bottom w:val="single" w:color="auto" w:sz="4" w:space="0"/>
              <w:right w:val="single" w:color="auto" w:sz="4" w:space="0"/>
            </w:tcBorders>
            <w:shd w:val="clear" w:color="auto" w:fill="auto"/>
            <w:vAlign w:val="center"/>
          </w:tcPr>
          <w:p w14:paraId="14C3AF4A">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w:t>
            </w:r>
          </w:p>
          <w:p w14:paraId="1CC297FD">
            <w:pPr>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得分</w:t>
            </w:r>
          </w:p>
        </w:tc>
      </w:tr>
      <w:tr w14:paraId="0939E33F">
        <w:tblPrEx>
          <w:tblCellMar>
            <w:top w:w="0" w:type="dxa"/>
            <w:left w:w="108" w:type="dxa"/>
            <w:bottom w:w="0" w:type="dxa"/>
            <w:right w:w="108" w:type="dxa"/>
          </w:tblCellMar>
        </w:tblPrEx>
        <w:trPr>
          <w:trHeight w:val="1349" w:hRule="atLeast"/>
          <w:jc w:val="center"/>
        </w:trPr>
        <w:tc>
          <w:tcPr>
            <w:tcW w:w="655" w:type="dxa"/>
            <w:vMerge w:val="restart"/>
            <w:tcBorders>
              <w:top w:val="single" w:color="auto" w:sz="4" w:space="0"/>
              <w:left w:val="single" w:color="auto" w:sz="4" w:space="0"/>
              <w:right w:val="single" w:color="auto" w:sz="4" w:space="0"/>
            </w:tcBorders>
            <w:shd w:val="clear" w:color="auto" w:fill="auto"/>
            <w:vAlign w:val="center"/>
          </w:tcPr>
          <w:p w14:paraId="5C390DBB">
            <w:pPr>
              <w:widowControl/>
              <w:spacing w:line="240" w:lineRule="exact"/>
              <w:jc w:val="center"/>
              <w:rPr>
                <w:rFonts w:ascii="楷体_GB2312" w:eastAsia="楷体_GB2312" w:cs="宋体"/>
                <w:b w:val="0"/>
                <w:color w:val="000000"/>
                <w:spacing w:val="0"/>
                <w:sz w:val="24"/>
                <w:szCs w:val="24"/>
              </w:rPr>
            </w:pPr>
            <w:r>
              <w:rPr>
                <w:rFonts w:hint="eastAsia" w:ascii="楷体_GB2312" w:eastAsia="楷体_GB2312" w:cs="宋体"/>
                <w:b w:val="0"/>
                <w:color w:val="000000"/>
                <w:spacing w:val="0"/>
                <w:sz w:val="24"/>
                <w:szCs w:val="24"/>
              </w:rPr>
              <w:t>评价项目</w:t>
            </w:r>
          </w:p>
        </w:tc>
        <w:tc>
          <w:tcPr>
            <w:tcW w:w="6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3169F3C">
            <w:pPr>
              <w:widowControl/>
              <w:spacing w:line="240" w:lineRule="exact"/>
              <w:jc w:val="center"/>
              <w:rPr>
                <w:rFonts w:hint="eastAsia"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专业层次</w:t>
            </w:r>
          </w:p>
          <w:p w14:paraId="73E70F6F">
            <w:pPr>
              <w:widowControl/>
              <w:spacing w:line="240" w:lineRule="exact"/>
              <w:jc w:val="distribute"/>
              <w:rPr>
                <w:rFonts w:hint="eastAsia" w:ascii="楷体" w:hAnsi="楷体" w:eastAsia="楷体" w:cs="楷体"/>
                <w:b w:val="0"/>
                <w:color w:val="000000"/>
                <w:spacing w:val="0"/>
                <w:sz w:val="24"/>
                <w:szCs w:val="24"/>
                <w:lang w:eastAsia="zh-CN"/>
              </w:rPr>
            </w:pPr>
          </w:p>
        </w:tc>
        <w:tc>
          <w:tcPr>
            <w:tcW w:w="5588" w:type="dxa"/>
            <w:tcBorders>
              <w:top w:val="single" w:color="auto" w:sz="4" w:space="0"/>
              <w:left w:val="nil"/>
              <w:bottom w:val="single" w:color="auto" w:sz="4" w:space="0"/>
              <w:right w:val="single" w:color="auto" w:sz="4" w:space="0"/>
            </w:tcBorders>
            <w:shd w:val="clear" w:color="auto" w:fill="auto"/>
            <w:vAlign w:val="center"/>
          </w:tcPr>
          <w:p w14:paraId="4936BE1D">
            <w:pPr>
              <w:keepNext w:val="0"/>
              <w:keepLines w:val="0"/>
              <w:pageBreakBefore w:val="0"/>
              <w:widowControl/>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 w:val="0"/>
                <w:color w:val="000000"/>
                <w:spacing w:val="-4"/>
                <w:sz w:val="18"/>
                <w:szCs w:val="18"/>
              </w:rPr>
            </w:pPr>
            <w:r>
              <w:rPr>
                <w:rFonts w:hint="eastAsia" w:asciiTheme="majorEastAsia" w:hAnsiTheme="majorEastAsia" w:eastAsiaTheme="majorEastAsia" w:cstheme="majorEastAsia"/>
                <w:bCs/>
                <w:color w:val="000000"/>
                <w:spacing w:val="-4"/>
                <w:sz w:val="18"/>
                <w:szCs w:val="18"/>
              </w:rPr>
              <w:t>本 科</w:t>
            </w:r>
            <w:r>
              <w:rPr>
                <w:rFonts w:hint="eastAsia" w:asciiTheme="majorEastAsia" w:hAnsiTheme="majorEastAsia" w:eastAsiaTheme="majorEastAsia" w:cstheme="maj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tc>
        <w:tc>
          <w:tcPr>
            <w:tcW w:w="675" w:type="dxa"/>
            <w:tcBorders>
              <w:top w:val="nil"/>
              <w:left w:val="nil"/>
              <w:bottom w:val="single" w:color="auto" w:sz="4" w:space="0"/>
              <w:right w:val="single" w:color="auto" w:sz="4" w:space="0"/>
            </w:tcBorders>
            <w:shd w:val="clear" w:color="auto" w:fill="auto"/>
            <w:vAlign w:val="center"/>
          </w:tcPr>
          <w:p w14:paraId="05905018">
            <w:pPr>
              <w:widowControl/>
              <w:spacing w:line="240" w:lineRule="exact"/>
              <w:jc w:val="center"/>
              <w:rPr>
                <w:rFonts w:hint="default" w:eastAsia="宋体" w:cs="宋体"/>
                <w:b w:val="0"/>
                <w:color w:val="000000"/>
                <w:spacing w:val="0"/>
                <w:sz w:val="24"/>
                <w:szCs w:val="24"/>
                <w:lang w:val="en-US" w:eastAsia="zh-CN"/>
              </w:rPr>
            </w:pPr>
            <w:r>
              <w:rPr>
                <w:rFonts w:hint="eastAsia" w:cs="宋体"/>
                <w:b w:val="0"/>
                <w:color w:val="000000"/>
                <w:spacing w:val="0"/>
                <w:sz w:val="24"/>
                <w:szCs w:val="24"/>
                <w:lang w:val="en-US" w:eastAsia="zh-CN"/>
              </w:rPr>
              <w:t>30</w:t>
            </w:r>
          </w:p>
        </w:tc>
        <w:tc>
          <w:tcPr>
            <w:tcW w:w="775" w:type="dxa"/>
            <w:tcBorders>
              <w:top w:val="nil"/>
              <w:left w:val="nil"/>
              <w:bottom w:val="single" w:color="auto" w:sz="4" w:space="0"/>
              <w:right w:val="single" w:color="auto" w:sz="4" w:space="0"/>
            </w:tcBorders>
            <w:shd w:val="clear" w:color="auto" w:fill="auto"/>
            <w:vAlign w:val="center"/>
          </w:tcPr>
          <w:p w14:paraId="26A4512F">
            <w:pPr>
              <w:widowControl/>
              <w:spacing w:line="240" w:lineRule="exact"/>
              <w:jc w:val="center"/>
              <w:rPr>
                <w:rFonts w:cs="宋体"/>
                <w:b w:val="0"/>
                <w:color w:val="FF0000"/>
                <w:spacing w:val="0"/>
                <w:sz w:val="21"/>
                <w:szCs w:val="21"/>
              </w:rPr>
            </w:pPr>
          </w:p>
        </w:tc>
        <w:tc>
          <w:tcPr>
            <w:tcW w:w="666" w:type="dxa"/>
            <w:tcBorders>
              <w:top w:val="nil"/>
              <w:left w:val="nil"/>
              <w:bottom w:val="single" w:color="auto" w:sz="4" w:space="0"/>
              <w:right w:val="single" w:color="auto" w:sz="4" w:space="0"/>
            </w:tcBorders>
            <w:shd w:val="clear" w:color="auto" w:fill="auto"/>
            <w:vAlign w:val="center"/>
          </w:tcPr>
          <w:p w14:paraId="52EB696B">
            <w:pPr>
              <w:widowControl/>
              <w:spacing w:line="240" w:lineRule="exact"/>
              <w:jc w:val="center"/>
              <w:rPr>
                <w:rFonts w:cs="宋体"/>
                <w:b w:val="0"/>
                <w:color w:val="FF0000"/>
                <w:spacing w:val="0"/>
                <w:sz w:val="21"/>
                <w:szCs w:val="21"/>
              </w:rPr>
            </w:pPr>
          </w:p>
        </w:tc>
      </w:tr>
      <w:tr w14:paraId="40CAAB2D">
        <w:tblPrEx>
          <w:tblCellMar>
            <w:top w:w="0" w:type="dxa"/>
            <w:left w:w="108" w:type="dxa"/>
            <w:bottom w:w="0" w:type="dxa"/>
            <w:right w:w="108" w:type="dxa"/>
          </w:tblCellMar>
        </w:tblPrEx>
        <w:trPr>
          <w:trHeight w:val="2553" w:hRule="atLeast"/>
          <w:jc w:val="center"/>
        </w:trPr>
        <w:tc>
          <w:tcPr>
            <w:tcW w:w="655" w:type="dxa"/>
            <w:vMerge w:val="continue"/>
            <w:tcBorders>
              <w:left w:val="single" w:color="auto" w:sz="4" w:space="0"/>
              <w:right w:val="single" w:color="auto" w:sz="4" w:space="0"/>
            </w:tcBorders>
            <w:vAlign w:val="center"/>
          </w:tcPr>
          <w:p w14:paraId="5F40EA0A">
            <w:pPr>
              <w:widowControl/>
              <w:spacing w:line="240" w:lineRule="exact"/>
              <w:jc w:val="center"/>
              <w:rPr>
                <w:rFonts w:ascii="楷体_GB2312" w:eastAsia="楷体_GB2312" w:cs="宋体"/>
                <w:b w:val="0"/>
                <w:color w:val="000000"/>
                <w:spacing w:val="0"/>
                <w:sz w:val="24"/>
                <w:szCs w:val="24"/>
              </w:rPr>
            </w:pPr>
          </w:p>
        </w:tc>
        <w:tc>
          <w:tcPr>
            <w:tcW w:w="687" w:type="dxa"/>
            <w:vMerge w:val="continue"/>
            <w:tcBorders>
              <w:top w:val="nil"/>
              <w:left w:val="single" w:color="auto" w:sz="4" w:space="0"/>
              <w:bottom w:val="single" w:color="000000" w:sz="4" w:space="0"/>
              <w:right w:val="single" w:color="auto" w:sz="4" w:space="0"/>
            </w:tcBorders>
            <w:vAlign w:val="center"/>
          </w:tcPr>
          <w:p w14:paraId="1A229249">
            <w:pPr>
              <w:widowControl/>
              <w:spacing w:line="240" w:lineRule="exact"/>
              <w:jc w:val="center"/>
              <w:rPr>
                <w:rFonts w:ascii="楷体" w:hAnsi="楷体" w:eastAsia="楷体" w:cs="楷体"/>
                <w:b w:val="0"/>
                <w:color w:val="000000"/>
                <w:spacing w:val="0"/>
                <w:sz w:val="24"/>
                <w:szCs w:val="24"/>
              </w:rPr>
            </w:pPr>
          </w:p>
        </w:tc>
        <w:tc>
          <w:tcPr>
            <w:tcW w:w="5588" w:type="dxa"/>
            <w:tcBorders>
              <w:top w:val="nil"/>
              <w:left w:val="nil"/>
              <w:bottom w:val="single" w:color="auto" w:sz="4" w:space="0"/>
              <w:right w:val="single" w:color="auto" w:sz="4" w:space="0"/>
            </w:tcBorders>
            <w:shd w:val="clear" w:color="auto" w:fill="auto"/>
            <w:vAlign w:val="center"/>
          </w:tcPr>
          <w:p w14:paraId="7D8ED32B">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Cs/>
                <w:color w:val="000000"/>
                <w:spacing w:val="-4"/>
                <w:sz w:val="18"/>
                <w:szCs w:val="18"/>
              </w:rPr>
              <w:t>研究生</w:t>
            </w:r>
            <w:r>
              <w:rPr>
                <w:rFonts w:hint="eastAsia" w:asciiTheme="majorEastAsia" w:hAnsiTheme="majorEastAsia" w:eastAsiaTheme="majorEastAsia" w:cstheme="majorEastAsia"/>
                <w:b w:val="0"/>
                <w:color w:val="000000"/>
                <w:spacing w:val="-4"/>
                <w:sz w:val="18"/>
                <w:szCs w:val="18"/>
              </w:rPr>
              <w:t>：</w:t>
            </w:r>
          </w:p>
          <w:p w14:paraId="240CD272">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color w:val="000000"/>
                <w:spacing w:val="-4"/>
                <w:sz w:val="18"/>
                <w:szCs w:val="18"/>
              </w:rPr>
              <w:t>国 内</w:t>
            </w:r>
            <w:r>
              <w:rPr>
                <w:rFonts w:hint="eastAsia" w:asciiTheme="majorEastAsia" w:hAnsiTheme="majorEastAsia" w:eastAsiaTheme="majorEastAsia" w:cstheme="maj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w:t>
            </w:r>
            <w:r>
              <w:rPr>
                <w:rFonts w:hint="eastAsia" w:asciiTheme="majorEastAsia" w:hAnsiTheme="majorEastAsia" w:eastAsiaTheme="majorEastAsia" w:cstheme="majorEastAsia"/>
                <w:b w:val="0"/>
                <w:color w:val="000000"/>
                <w:spacing w:val="-4"/>
                <w:sz w:val="18"/>
                <w:szCs w:val="18"/>
                <w:lang w:eastAsia="zh-CN"/>
              </w:rPr>
              <w:t>；</w:t>
            </w:r>
            <w:r>
              <w:rPr>
                <w:rFonts w:hint="eastAsia" w:ascii="宋体" w:hAnsi="宋体" w:eastAsia="宋体" w:cs="宋体"/>
                <w:b w:val="0"/>
                <w:color w:val="000000"/>
                <w:spacing w:val="-4"/>
                <w:sz w:val="18"/>
                <w:szCs w:val="18"/>
              </w:rPr>
              <w:t>学历学位证俱全，且高等教育阶段起始学历为全日制本科</w:t>
            </w:r>
            <w:r>
              <w:rPr>
                <w:rFonts w:hint="eastAsia" w:cs="宋体"/>
                <w:b w:val="0"/>
                <w:color w:val="000000"/>
                <w:spacing w:val="-4"/>
                <w:sz w:val="18"/>
                <w:szCs w:val="18"/>
                <w:lang w:eastAsia="zh-CN"/>
              </w:rPr>
              <w:t>的</w:t>
            </w:r>
            <w:r>
              <w:rPr>
                <w:rFonts w:hint="eastAsia" w:cs="宋体"/>
                <w:b w:val="0"/>
                <w:color w:val="000000"/>
                <w:spacing w:val="-4"/>
                <w:sz w:val="18"/>
                <w:szCs w:val="18"/>
                <w:lang w:val="en-US" w:eastAsia="zh-CN"/>
              </w:rPr>
              <w:t>全日制硕士研究生</w:t>
            </w:r>
            <w:r>
              <w:rPr>
                <w:rFonts w:hint="eastAsia" w:ascii="宋体" w:hAnsi="宋体" w:eastAsia="宋体" w:cs="宋体"/>
                <w:b w:val="0"/>
                <w:color w:val="000000"/>
                <w:spacing w:val="-4"/>
                <w:sz w:val="18"/>
                <w:szCs w:val="18"/>
              </w:rPr>
              <w:t>得</w:t>
            </w:r>
            <w:r>
              <w:rPr>
                <w:rFonts w:hint="eastAsia" w:cs="宋体"/>
                <w:b w:val="0"/>
                <w:color w:val="000000"/>
                <w:spacing w:val="-4"/>
                <w:sz w:val="18"/>
                <w:szCs w:val="18"/>
                <w:lang w:val="en-US" w:eastAsia="zh-CN"/>
              </w:rPr>
              <w:t>20分；</w:t>
            </w:r>
            <w:r>
              <w:rPr>
                <w:rFonts w:hint="eastAsia" w:ascii="宋体" w:hAnsi="宋体" w:eastAsia="宋体" w:cs="宋体"/>
                <w:b w:val="0"/>
                <w:color w:val="000000"/>
                <w:spacing w:val="-4"/>
                <w:sz w:val="18"/>
                <w:szCs w:val="18"/>
              </w:rPr>
              <w:t>学历学位证俱全，且高等教育阶段起始学历为全日制本科</w:t>
            </w:r>
            <w:r>
              <w:rPr>
                <w:rFonts w:hint="eastAsia" w:cs="宋体"/>
                <w:b w:val="0"/>
                <w:color w:val="000000"/>
                <w:spacing w:val="-4"/>
                <w:sz w:val="18"/>
                <w:szCs w:val="18"/>
                <w:lang w:eastAsia="zh-CN"/>
              </w:rPr>
              <w:t>的</w:t>
            </w:r>
            <w:r>
              <w:rPr>
                <w:rFonts w:hint="eastAsia" w:cs="宋体"/>
                <w:b w:val="0"/>
                <w:color w:val="000000"/>
                <w:spacing w:val="-4"/>
                <w:sz w:val="18"/>
                <w:szCs w:val="18"/>
                <w:lang w:val="en-US" w:eastAsia="zh-CN"/>
              </w:rPr>
              <w:t>硕士研究生</w:t>
            </w:r>
            <w:r>
              <w:rPr>
                <w:rFonts w:hint="eastAsia" w:ascii="宋体" w:hAnsi="宋体" w:eastAsia="宋体" w:cs="宋体"/>
                <w:b w:val="0"/>
                <w:color w:val="000000"/>
                <w:spacing w:val="-4"/>
                <w:sz w:val="18"/>
                <w:szCs w:val="18"/>
              </w:rPr>
              <w:t>得</w:t>
            </w:r>
            <w:r>
              <w:rPr>
                <w:rFonts w:hint="eastAsia" w:cs="宋体"/>
                <w:b w:val="0"/>
                <w:color w:val="000000"/>
                <w:spacing w:val="-4"/>
                <w:sz w:val="18"/>
                <w:szCs w:val="18"/>
                <w:lang w:val="en-US" w:eastAsia="zh-CN"/>
              </w:rPr>
              <w:t>18分</w:t>
            </w:r>
            <w:r>
              <w:rPr>
                <w:rFonts w:hint="eastAsia" w:asciiTheme="majorEastAsia" w:hAnsiTheme="majorEastAsia" w:eastAsiaTheme="majorEastAsia" w:cstheme="majorEastAsia"/>
                <w:b w:val="0"/>
                <w:color w:val="000000"/>
                <w:spacing w:val="-4"/>
                <w:sz w:val="18"/>
                <w:szCs w:val="18"/>
              </w:rPr>
              <w:t>。</w:t>
            </w:r>
          </w:p>
          <w:p w14:paraId="1495936B">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color w:val="000000"/>
                <w:spacing w:val="-4"/>
                <w:sz w:val="18"/>
                <w:szCs w:val="18"/>
              </w:rPr>
              <w:t>海 外</w:t>
            </w:r>
            <w:r>
              <w:rPr>
                <w:rFonts w:hint="eastAsia" w:asciiTheme="majorEastAsia" w:hAnsiTheme="majorEastAsia" w:eastAsiaTheme="majorEastAsia" w:cstheme="majorEastAsia"/>
                <w:b w:val="0"/>
                <w:color w:val="000000"/>
                <w:spacing w:val="-4"/>
                <w:sz w:val="18"/>
                <w:szCs w:val="18"/>
              </w:rPr>
              <w:t>：</w:t>
            </w:r>
          </w:p>
          <w:p w14:paraId="3B1DEB6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 w:val="0"/>
                <w:color w:val="000000"/>
                <w:spacing w:val="-4"/>
                <w:sz w:val="18"/>
                <w:szCs w:val="18"/>
              </w:rPr>
              <w:t>世界综合排名高校1-10名的，得30分；世界综合排名高校11-50名的，得28分；世界综合排名高校51-100名的得26分；世界综合排名高校101-200名的，得24分。</w:t>
            </w:r>
          </w:p>
        </w:tc>
        <w:tc>
          <w:tcPr>
            <w:tcW w:w="675" w:type="dxa"/>
            <w:tcBorders>
              <w:top w:val="nil"/>
              <w:left w:val="nil"/>
              <w:bottom w:val="single" w:color="auto" w:sz="4" w:space="0"/>
              <w:right w:val="single" w:color="auto" w:sz="4" w:space="0"/>
            </w:tcBorders>
            <w:shd w:val="clear" w:color="auto" w:fill="auto"/>
            <w:vAlign w:val="center"/>
          </w:tcPr>
          <w:p w14:paraId="01F4437F">
            <w:pPr>
              <w:widowControl/>
              <w:spacing w:line="240" w:lineRule="exact"/>
              <w:jc w:val="center"/>
              <w:rPr>
                <w:rFonts w:hint="default" w:cs="宋体"/>
                <w:b w:val="0"/>
                <w:color w:val="000000"/>
                <w:spacing w:val="0"/>
                <w:sz w:val="24"/>
                <w:szCs w:val="24"/>
                <w:lang w:val="en-US"/>
              </w:rPr>
            </w:pPr>
            <w:r>
              <w:rPr>
                <w:rFonts w:hint="eastAsia" w:cs="宋体"/>
                <w:b w:val="0"/>
                <w:color w:val="000000"/>
                <w:spacing w:val="0"/>
                <w:sz w:val="24"/>
                <w:szCs w:val="24"/>
                <w:lang w:val="en-US" w:eastAsia="zh-CN"/>
              </w:rPr>
              <w:t>30</w:t>
            </w:r>
          </w:p>
        </w:tc>
        <w:tc>
          <w:tcPr>
            <w:tcW w:w="775" w:type="dxa"/>
            <w:tcBorders>
              <w:top w:val="nil"/>
              <w:left w:val="nil"/>
              <w:bottom w:val="single" w:color="auto" w:sz="4" w:space="0"/>
              <w:right w:val="single" w:color="auto" w:sz="4" w:space="0"/>
            </w:tcBorders>
            <w:shd w:val="clear" w:color="auto" w:fill="auto"/>
            <w:vAlign w:val="center"/>
          </w:tcPr>
          <w:p w14:paraId="0688A317">
            <w:pPr>
              <w:widowControl/>
              <w:spacing w:line="240" w:lineRule="exact"/>
              <w:jc w:val="center"/>
              <w:rPr>
                <w:rFonts w:cs="宋体"/>
                <w:b w:val="0"/>
                <w:color w:val="FF0000"/>
                <w:spacing w:val="0"/>
                <w:sz w:val="21"/>
                <w:szCs w:val="21"/>
              </w:rPr>
            </w:pPr>
            <w:bookmarkStart w:id="0" w:name="_GoBack"/>
            <w:bookmarkEnd w:id="0"/>
          </w:p>
        </w:tc>
        <w:tc>
          <w:tcPr>
            <w:tcW w:w="666" w:type="dxa"/>
            <w:tcBorders>
              <w:top w:val="nil"/>
              <w:left w:val="nil"/>
              <w:bottom w:val="single" w:color="auto" w:sz="4" w:space="0"/>
              <w:right w:val="single" w:color="auto" w:sz="4" w:space="0"/>
            </w:tcBorders>
            <w:shd w:val="clear" w:color="auto" w:fill="auto"/>
            <w:vAlign w:val="center"/>
          </w:tcPr>
          <w:p w14:paraId="67EBFF0F">
            <w:pPr>
              <w:widowControl/>
              <w:spacing w:line="240" w:lineRule="exact"/>
              <w:jc w:val="center"/>
              <w:rPr>
                <w:rFonts w:cs="宋体"/>
                <w:b w:val="0"/>
                <w:color w:val="FF0000"/>
                <w:spacing w:val="0"/>
                <w:sz w:val="21"/>
                <w:szCs w:val="21"/>
              </w:rPr>
            </w:pPr>
          </w:p>
        </w:tc>
      </w:tr>
      <w:tr w14:paraId="741ADA68">
        <w:tblPrEx>
          <w:tblCellMar>
            <w:top w:w="0" w:type="dxa"/>
            <w:left w:w="108" w:type="dxa"/>
            <w:bottom w:w="0" w:type="dxa"/>
            <w:right w:w="108" w:type="dxa"/>
          </w:tblCellMar>
        </w:tblPrEx>
        <w:trPr>
          <w:trHeight w:val="1642" w:hRule="atLeast"/>
          <w:jc w:val="center"/>
        </w:trPr>
        <w:tc>
          <w:tcPr>
            <w:tcW w:w="655" w:type="dxa"/>
            <w:vMerge w:val="continue"/>
            <w:tcBorders>
              <w:left w:val="single" w:color="auto" w:sz="4" w:space="0"/>
              <w:right w:val="single" w:color="auto" w:sz="4" w:space="0"/>
            </w:tcBorders>
            <w:vAlign w:val="center"/>
          </w:tcPr>
          <w:p w14:paraId="28284EFC">
            <w:pPr>
              <w:widowControl/>
              <w:spacing w:line="240" w:lineRule="exact"/>
              <w:jc w:val="center"/>
              <w:rPr>
                <w:rFonts w:ascii="楷体_GB2312" w:eastAsia="楷体_GB2312" w:cs="宋体"/>
                <w:b w:val="0"/>
                <w:color w:val="000000"/>
                <w:spacing w:val="0"/>
                <w:sz w:val="24"/>
                <w:szCs w:val="24"/>
              </w:rPr>
            </w:pPr>
          </w:p>
        </w:tc>
        <w:tc>
          <w:tcPr>
            <w:tcW w:w="687" w:type="dxa"/>
            <w:tcBorders>
              <w:top w:val="single" w:color="auto" w:sz="4" w:space="0"/>
              <w:left w:val="nil"/>
              <w:bottom w:val="single" w:color="auto" w:sz="4" w:space="0"/>
              <w:right w:val="single" w:color="auto" w:sz="4" w:space="0"/>
            </w:tcBorders>
            <w:shd w:val="clear" w:color="auto" w:fill="auto"/>
            <w:vAlign w:val="center"/>
          </w:tcPr>
          <w:p w14:paraId="30556B6A">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科研成果</w:t>
            </w:r>
          </w:p>
        </w:tc>
        <w:tc>
          <w:tcPr>
            <w:tcW w:w="5588" w:type="dxa"/>
            <w:tcBorders>
              <w:top w:val="single" w:color="auto" w:sz="4" w:space="0"/>
              <w:left w:val="nil"/>
              <w:bottom w:val="single" w:color="auto" w:sz="4" w:space="0"/>
              <w:right w:val="single" w:color="auto" w:sz="4" w:space="0"/>
            </w:tcBorders>
            <w:shd w:val="clear" w:color="auto" w:fill="auto"/>
            <w:vAlign w:val="center"/>
          </w:tcPr>
          <w:p w14:paraId="75363E17">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1. SCI、SSCI一区检索的本学科学术期刊论文，每篇得15分（第一作者，不含并列第一作者）；</w:t>
            </w:r>
          </w:p>
          <w:p w14:paraId="70C8C11B">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2. SCI、SSCI一区检索（并列第一作者）或SCI、SSCI二区检索的本学科学术期刊论文（第一作者，不含并列第一作者），每篇得10分；</w:t>
            </w:r>
          </w:p>
          <w:p w14:paraId="64C5BEDD">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3. SCI、SSCI二区检索（并列第一作者）或SCI、SSCI三区检索的本学科学术期刊论文（第一作者，不含并列第一作者），每篇得5分；</w:t>
            </w:r>
          </w:p>
          <w:p w14:paraId="68322F15">
            <w:pPr>
              <w:widowControl/>
              <w:rPr>
                <w:rFonts w:hint="eastAsia" w:asciiTheme="majorEastAsia" w:hAnsiTheme="majorEastAsia" w:eastAsiaTheme="majorEastAsia" w:cstheme="majorEastAsia"/>
                <w:b/>
                <w:bCs/>
                <w:spacing w:val="-4"/>
                <w:sz w:val="18"/>
                <w:szCs w:val="18"/>
              </w:rPr>
            </w:pPr>
            <w:r>
              <w:rPr>
                <w:rFonts w:hint="eastAsia" w:asciiTheme="majorEastAsia" w:hAnsiTheme="majorEastAsia" w:eastAsiaTheme="majorEastAsia" w:cstheme="majorEastAsia"/>
                <w:b w:val="0"/>
                <w:spacing w:val="-4"/>
                <w:sz w:val="18"/>
                <w:szCs w:val="18"/>
              </w:rPr>
              <w:t>4. SCI、SSCI三区检索（并列第一作者）或SCI、SSCI四区检索（第一作者，不含并列第一作者）或EI检索的本学科学术期刊论文（第一作者，不含并列第一作者），每篇得2分。</w:t>
            </w:r>
            <w:r>
              <w:rPr>
                <w:rFonts w:hint="eastAsia" w:asciiTheme="majorEastAsia" w:hAnsiTheme="majorEastAsia" w:eastAsiaTheme="majorEastAsia" w:cstheme="majorEastAsia"/>
                <w:b/>
                <w:bCs/>
                <w:spacing w:val="-4"/>
                <w:sz w:val="18"/>
                <w:szCs w:val="18"/>
              </w:rPr>
              <w:t>SCI、SSCI分区以中科院年度分区为准。</w:t>
            </w:r>
          </w:p>
          <w:p w14:paraId="125E4AC1">
            <w:pPr>
              <w:keepNext w:val="0"/>
              <w:keepLines w:val="0"/>
              <w:pageBreakBefore w:val="0"/>
              <w:widowControl/>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 w:val="0"/>
                <w:spacing w:val="-4"/>
                <w:sz w:val="18"/>
                <w:szCs w:val="18"/>
              </w:rPr>
            </w:pPr>
            <w:r>
              <w:rPr>
                <w:rFonts w:hint="eastAsia" w:asciiTheme="majorEastAsia" w:hAnsiTheme="majorEastAsia" w:eastAsiaTheme="majorEastAsia" w:cstheme="majorEastAsia"/>
                <w:b w:val="0"/>
                <w:spacing w:val="-4"/>
                <w:sz w:val="18"/>
                <w:szCs w:val="18"/>
              </w:rPr>
              <w:t>5.作为第一发明人发表发明专利，每项得10分。各项累加不超过20分。</w:t>
            </w:r>
          </w:p>
        </w:tc>
        <w:tc>
          <w:tcPr>
            <w:tcW w:w="675" w:type="dxa"/>
            <w:tcBorders>
              <w:top w:val="single" w:color="auto" w:sz="4" w:space="0"/>
              <w:left w:val="nil"/>
              <w:bottom w:val="single" w:color="auto" w:sz="4" w:space="0"/>
              <w:right w:val="single" w:color="auto" w:sz="4" w:space="0"/>
            </w:tcBorders>
            <w:shd w:val="clear" w:color="auto" w:fill="auto"/>
            <w:vAlign w:val="center"/>
          </w:tcPr>
          <w:p w14:paraId="60B0C358">
            <w:pPr>
              <w:widowControl/>
              <w:spacing w:line="240" w:lineRule="exact"/>
              <w:jc w:val="center"/>
              <w:rPr>
                <w:rFonts w:hint="default" w:eastAsia="宋体" w:cs="宋体"/>
                <w:b w:val="0"/>
                <w:spacing w:val="0"/>
                <w:sz w:val="24"/>
                <w:szCs w:val="24"/>
                <w:lang w:val="en-US" w:eastAsia="zh-CN"/>
              </w:rPr>
            </w:pPr>
            <w:r>
              <w:rPr>
                <w:rFonts w:hint="eastAsia" w:cs="宋体"/>
                <w:b w:val="0"/>
                <w:spacing w:val="0"/>
                <w:sz w:val="24"/>
                <w:szCs w:val="24"/>
                <w:lang w:val="en-US" w:eastAsia="zh-CN"/>
              </w:rPr>
              <w:t>20</w:t>
            </w:r>
          </w:p>
        </w:tc>
        <w:tc>
          <w:tcPr>
            <w:tcW w:w="775" w:type="dxa"/>
            <w:tcBorders>
              <w:top w:val="single" w:color="auto" w:sz="4" w:space="0"/>
              <w:left w:val="nil"/>
              <w:bottom w:val="single" w:color="auto" w:sz="4" w:space="0"/>
              <w:right w:val="single" w:color="auto" w:sz="4" w:space="0"/>
            </w:tcBorders>
            <w:shd w:val="clear" w:color="auto" w:fill="auto"/>
            <w:vAlign w:val="center"/>
          </w:tcPr>
          <w:p w14:paraId="2D1BC46E">
            <w:pPr>
              <w:widowControl/>
              <w:spacing w:line="240" w:lineRule="exact"/>
              <w:jc w:val="center"/>
              <w:rPr>
                <w:rFonts w:cs="宋体"/>
                <w:b w:val="0"/>
                <w:color w:val="FF0000"/>
                <w:spacing w:val="0"/>
                <w:sz w:val="21"/>
                <w:szCs w:val="21"/>
              </w:rPr>
            </w:pPr>
          </w:p>
        </w:tc>
        <w:tc>
          <w:tcPr>
            <w:tcW w:w="666" w:type="dxa"/>
            <w:tcBorders>
              <w:top w:val="single" w:color="auto" w:sz="4" w:space="0"/>
              <w:left w:val="nil"/>
              <w:bottom w:val="single" w:color="auto" w:sz="4" w:space="0"/>
              <w:right w:val="single" w:color="auto" w:sz="4" w:space="0"/>
            </w:tcBorders>
            <w:shd w:val="clear" w:color="auto" w:fill="auto"/>
            <w:vAlign w:val="center"/>
          </w:tcPr>
          <w:p w14:paraId="197E35B8">
            <w:pPr>
              <w:widowControl/>
              <w:spacing w:line="240" w:lineRule="exact"/>
              <w:jc w:val="center"/>
              <w:rPr>
                <w:rFonts w:cs="宋体"/>
                <w:b w:val="0"/>
                <w:color w:val="FF0000"/>
                <w:spacing w:val="0"/>
                <w:sz w:val="21"/>
                <w:szCs w:val="21"/>
              </w:rPr>
            </w:pPr>
          </w:p>
        </w:tc>
      </w:tr>
      <w:tr w14:paraId="301A8137">
        <w:tblPrEx>
          <w:tblCellMar>
            <w:top w:w="0" w:type="dxa"/>
            <w:left w:w="108" w:type="dxa"/>
            <w:bottom w:w="0" w:type="dxa"/>
            <w:right w:w="108" w:type="dxa"/>
          </w:tblCellMar>
        </w:tblPrEx>
        <w:trPr>
          <w:trHeight w:val="1082" w:hRule="atLeast"/>
          <w:jc w:val="center"/>
        </w:trPr>
        <w:tc>
          <w:tcPr>
            <w:tcW w:w="655" w:type="dxa"/>
            <w:vMerge w:val="continue"/>
            <w:tcBorders>
              <w:left w:val="single" w:color="auto" w:sz="4" w:space="0"/>
              <w:right w:val="single" w:color="auto" w:sz="4" w:space="0"/>
            </w:tcBorders>
            <w:vAlign w:val="center"/>
          </w:tcPr>
          <w:p w14:paraId="3B0E82AF">
            <w:pPr>
              <w:widowControl/>
              <w:spacing w:line="240" w:lineRule="exact"/>
              <w:jc w:val="center"/>
              <w:rPr>
                <w:rFonts w:ascii="楷体_GB2312" w:eastAsia="楷体_GB2312" w:cs="宋体"/>
                <w:b w:val="0"/>
                <w:color w:val="000000"/>
                <w:spacing w:val="0"/>
                <w:sz w:val="24"/>
                <w:szCs w:val="24"/>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F753331">
            <w:pPr>
              <w:widowControl/>
              <w:spacing w:line="240" w:lineRule="exact"/>
              <w:jc w:val="center"/>
              <w:rPr>
                <w:rFonts w:hint="eastAsia" w:ascii="楷体" w:hAnsi="楷体" w:eastAsia="楷体" w:cs="楷体"/>
                <w:b w:val="0"/>
                <w:color w:val="000000"/>
                <w:spacing w:val="0"/>
                <w:sz w:val="24"/>
                <w:szCs w:val="24"/>
                <w:lang w:val="en-US" w:eastAsia="zh-CN" w:bidi="ar-SA"/>
              </w:rPr>
            </w:pPr>
            <w:r>
              <w:rPr>
                <w:rFonts w:hint="eastAsia" w:ascii="楷体" w:hAnsi="楷体" w:eastAsia="楷体" w:cs="楷体"/>
                <w:b w:val="0"/>
                <w:color w:val="000000"/>
                <w:spacing w:val="0"/>
                <w:sz w:val="24"/>
                <w:szCs w:val="24"/>
              </w:rPr>
              <w:t>职业资格</w:t>
            </w:r>
          </w:p>
        </w:tc>
        <w:tc>
          <w:tcPr>
            <w:tcW w:w="5588" w:type="dxa"/>
            <w:tcBorders>
              <w:top w:val="single" w:color="auto" w:sz="4" w:space="0"/>
              <w:left w:val="single" w:color="auto" w:sz="4" w:space="0"/>
              <w:bottom w:val="single" w:color="auto" w:sz="4" w:space="0"/>
              <w:right w:val="single" w:color="auto" w:sz="4" w:space="0"/>
            </w:tcBorders>
            <w:shd w:val="clear" w:color="auto" w:fill="auto"/>
            <w:vAlign w:val="center"/>
          </w:tcPr>
          <w:p w14:paraId="592D8581">
            <w:pPr>
              <w:widowControl/>
              <w:spacing w:line="120" w:lineRule="auto"/>
              <w:rPr>
                <w:rFonts w:hint="eastAsia" w:asciiTheme="majorEastAsia" w:hAnsiTheme="majorEastAsia" w:eastAsiaTheme="majorEastAsia" w:cstheme="majorEastAsia"/>
                <w:b w:val="0"/>
                <w:color w:val="000000"/>
                <w:spacing w:val="-4"/>
                <w:sz w:val="18"/>
                <w:szCs w:val="18"/>
                <w:lang w:val="en-US" w:eastAsia="zh-CN" w:bidi="ar-SA"/>
              </w:rPr>
            </w:pPr>
            <w:r>
              <w:rPr>
                <w:rFonts w:hint="eastAsia" w:asciiTheme="majorEastAsia" w:hAnsiTheme="majorEastAsia" w:eastAsiaTheme="majorEastAsia" w:cstheme="majorEastAsia"/>
                <w:b w:val="0"/>
                <w:color w:val="000000"/>
                <w:spacing w:val="0"/>
                <w:sz w:val="18"/>
                <w:szCs w:val="18"/>
              </w:rPr>
              <w:t>取得副高级及以上水平评价类专业技术人员职业资格</w:t>
            </w:r>
            <w:r>
              <w:rPr>
                <w:rFonts w:hint="eastAsia" w:asciiTheme="majorEastAsia" w:hAnsiTheme="majorEastAsia" w:eastAsiaTheme="majorEastAsia" w:cstheme="majorEastAsia"/>
                <w:b w:val="0"/>
                <w:color w:val="000000"/>
                <w:spacing w:val="-4"/>
                <w:sz w:val="18"/>
                <w:szCs w:val="18"/>
              </w:rPr>
              <w:t>的得7分，</w:t>
            </w:r>
            <w:r>
              <w:rPr>
                <w:rFonts w:hint="eastAsia" w:asciiTheme="majorEastAsia" w:hAnsiTheme="majorEastAsia" w:eastAsiaTheme="majorEastAsia" w:cstheme="majorEastAsia"/>
                <w:b w:val="0"/>
                <w:color w:val="000000"/>
                <w:spacing w:val="0"/>
                <w:sz w:val="18"/>
                <w:szCs w:val="18"/>
              </w:rPr>
              <w:t>取得可对应至中级职称的专业技术人员职业资格得5分，在可按照级别划分的准入类专业技术人员职业资格中取得最高级别职业资格的得5分，</w:t>
            </w:r>
            <w:r>
              <w:rPr>
                <w:rFonts w:hint="eastAsia" w:asciiTheme="majorEastAsia" w:hAnsiTheme="majorEastAsia" w:eastAsiaTheme="majorEastAsia" w:cstheme="majorEastAsia"/>
                <w:b w:val="0"/>
                <w:color w:val="000000"/>
                <w:spacing w:val="-4"/>
                <w:sz w:val="18"/>
                <w:szCs w:val="18"/>
              </w:rPr>
              <w:t>各项累加不超过10分。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3FF853">
            <w:pPr>
              <w:widowControl/>
              <w:spacing w:line="240" w:lineRule="exact"/>
              <w:jc w:val="center"/>
              <w:rPr>
                <w:rFonts w:hint="eastAsia" w:asciiTheme="majorEastAsia" w:hAnsiTheme="majorEastAsia" w:eastAsiaTheme="majorEastAsia" w:cstheme="majorEastAsia"/>
                <w:b w:val="0"/>
                <w:color w:val="000000"/>
                <w:spacing w:val="0"/>
                <w:sz w:val="24"/>
                <w:szCs w:val="24"/>
                <w:lang w:val="en-US" w:eastAsia="zh-CN" w:bidi="ar-SA"/>
              </w:rPr>
            </w:pPr>
            <w:r>
              <w:rPr>
                <w:rFonts w:hint="eastAsia" w:asciiTheme="majorEastAsia" w:hAnsiTheme="majorEastAsia" w:eastAsiaTheme="majorEastAsia" w:cstheme="majorEastAsia"/>
                <w:b w:val="0"/>
                <w:color w:val="000000"/>
                <w:spacing w:val="0"/>
                <w:sz w:val="24"/>
                <w:szCs w:val="24"/>
              </w:rPr>
              <w:t>10</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C094880">
            <w:pPr>
              <w:widowControl/>
              <w:spacing w:line="240" w:lineRule="exact"/>
              <w:jc w:val="center"/>
              <w:rPr>
                <w:rFonts w:cs="宋体"/>
                <w:b w:val="0"/>
                <w:color w:val="FF0000"/>
                <w:spacing w:val="0"/>
                <w:sz w:val="21"/>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796098A">
            <w:pPr>
              <w:widowControl/>
              <w:spacing w:line="240" w:lineRule="exact"/>
              <w:jc w:val="center"/>
              <w:rPr>
                <w:rFonts w:cs="宋体"/>
                <w:b w:val="0"/>
                <w:color w:val="FF0000"/>
                <w:spacing w:val="0"/>
                <w:sz w:val="21"/>
                <w:szCs w:val="21"/>
              </w:rPr>
            </w:pPr>
          </w:p>
        </w:tc>
      </w:tr>
      <w:tr w14:paraId="19AE01B9">
        <w:tblPrEx>
          <w:tblCellMar>
            <w:top w:w="0" w:type="dxa"/>
            <w:left w:w="108" w:type="dxa"/>
            <w:bottom w:w="0" w:type="dxa"/>
            <w:right w:w="108" w:type="dxa"/>
          </w:tblCellMar>
        </w:tblPrEx>
        <w:trPr>
          <w:trHeight w:val="1082" w:hRule="atLeast"/>
          <w:jc w:val="center"/>
        </w:trPr>
        <w:tc>
          <w:tcPr>
            <w:tcW w:w="655" w:type="dxa"/>
            <w:vMerge w:val="continue"/>
            <w:tcBorders>
              <w:left w:val="single" w:color="auto" w:sz="4" w:space="0"/>
              <w:right w:val="single" w:color="auto" w:sz="4" w:space="0"/>
            </w:tcBorders>
            <w:vAlign w:val="center"/>
          </w:tcPr>
          <w:p w14:paraId="378EE767">
            <w:pPr>
              <w:widowControl/>
              <w:spacing w:line="240" w:lineRule="exact"/>
              <w:jc w:val="center"/>
              <w:rPr>
                <w:rFonts w:ascii="楷体_GB2312" w:eastAsia="楷体_GB2312" w:cs="宋体"/>
                <w:b w:val="0"/>
                <w:color w:val="000000"/>
                <w:spacing w:val="0"/>
                <w:sz w:val="24"/>
                <w:szCs w:val="24"/>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BEA2A39">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2"/>
                <w:szCs w:val="22"/>
              </w:rPr>
              <w:t>专业技术职称</w:t>
            </w:r>
          </w:p>
        </w:tc>
        <w:tc>
          <w:tcPr>
            <w:tcW w:w="5588" w:type="dxa"/>
            <w:tcBorders>
              <w:top w:val="single" w:color="auto" w:sz="4" w:space="0"/>
              <w:left w:val="single" w:color="auto" w:sz="4" w:space="0"/>
              <w:bottom w:val="single" w:color="auto" w:sz="4" w:space="0"/>
              <w:right w:val="single" w:color="auto" w:sz="4" w:space="0"/>
            </w:tcBorders>
            <w:shd w:val="clear" w:color="auto" w:fill="auto"/>
            <w:vAlign w:val="center"/>
          </w:tcPr>
          <w:p w14:paraId="59C5AA22">
            <w:pPr>
              <w:keepNext w:val="0"/>
              <w:keepLines w:val="0"/>
              <w:pageBreakBefore w:val="0"/>
              <w:widowControl/>
              <w:tabs>
                <w:tab w:val="right" w:pos="4869"/>
              </w:tabs>
              <w:kinsoku/>
              <w:wordWrap/>
              <w:overflowPunct/>
              <w:topLinePunct w:val="0"/>
              <w:autoSpaceDE/>
              <w:autoSpaceDN/>
              <w:bidi w:val="0"/>
              <w:adjustRightInd/>
              <w:snapToGrid/>
              <w:spacing w:line="300" w:lineRule="exact"/>
              <w:jc w:val="left"/>
              <w:textAlignment w:val="auto"/>
              <w:rPr>
                <w:rFonts w:asciiTheme="minorEastAsia" w:hAnsiTheme="minorEastAsia" w:eastAsiaTheme="minorEastAsia" w:cstheme="minorEastAsia"/>
                <w:b w:val="0"/>
                <w:color w:val="000000"/>
                <w:spacing w:val="-4"/>
                <w:sz w:val="18"/>
                <w:szCs w:val="18"/>
              </w:rPr>
            </w:pPr>
            <w:r>
              <w:rPr>
                <w:rFonts w:hint="eastAsia" w:asciiTheme="majorEastAsia" w:hAnsiTheme="majorEastAsia" w:eastAsiaTheme="majorEastAsia" w:cstheme="majorEastAsia"/>
                <w:b w:val="0"/>
                <w:color w:val="000000"/>
                <w:spacing w:val="0"/>
                <w:sz w:val="18"/>
                <w:szCs w:val="18"/>
              </w:rPr>
              <w:t>正高级职称得5分，副高级得3分，中级得2分，初级得1分。按所取得最高级职称计算，不累加计算。</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735827D">
            <w:pPr>
              <w:widowControl/>
              <w:jc w:val="center"/>
              <w:rPr>
                <w:rFonts w:hint="eastAsia" w:eastAsia="宋体" w:cs="宋体"/>
                <w:b w:val="0"/>
                <w:color w:val="000000"/>
                <w:spacing w:val="0"/>
                <w:sz w:val="24"/>
                <w:szCs w:val="24"/>
                <w:lang w:eastAsia="zh-CN"/>
              </w:rPr>
            </w:pPr>
            <w:r>
              <w:rPr>
                <w:rFonts w:hint="eastAsia" w:cs="宋体"/>
                <w:b w:val="0"/>
                <w:color w:val="000000"/>
                <w:spacing w:val="0"/>
                <w:sz w:val="24"/>
                <w:szCs w:val="24"/>
              </w:rPr>
              <w:t>5　</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57265FA">
            <w:pPr>
              <w:widowControl/>
              <w:spacing w:line="240" w:lineRule="exact"/>
              <w:jc w:val="center"/>
              <w:rPr>
                <w:rFonts w:cs="宋体"/>
                <w:b w:val="0"/>
                <w:color w:val="FF0000"/>
                <w:spacing w:val="0"/>
                <w:sz w:val="21"/>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0E5D65D7">
            <w:pPr>
              <w:widowControl/>
              <w:spacing w:line="240" w:lineRule="exact"/>
              <w:jc w:val="center"/>
              <w:rPr>
                <w:rFonts w:cs="宋体"/>
                <w:b w:val="0"/>
                <w:color w:val="FF0000"/>
                <w:spacing w:val="0"/>
                <w:sz w:val="21"/>
                <w:szCs w:val="21"/>
              </w:rPr>
            </w:pPr>
          </w:p>
        </w:tc>
      </w:tr>
      <w:tr w14:paraId="746F4649">
        <w:tblPrEx>
          <w:tblCellMar>
            <w:top w:w="0" w:type="dxa"/>
            <w:left w:w="108" w:type="dxa"/>
            <w:bottom w:w="0" w:type="dxa"/>
            <w:right w:w="108" w:type="dxa"/>
          </w:tblCellMar>
        </w:tblPrEx>
        <w:trPr>
          <w:trHeight w:val="703" w:hRule="atLeast"/>
          <w:jc w:val="center"/>
        </w:trPr>
        <w:tc>
          <w:tcPr>
            <w:tcW w:w="655" w:type="dxa"/>
            <w:vMerge w:val="continue"/>
            <w:tcBorders>
              <w:left w:val="single" w:color="auto" w:sz="4" w:space="0"/>
              <w:bottom w:val="single" w:color="auto" w:sz="4" w:space="0"/>
              <w:right w:val="single" w:color="auto" w:sz="4" w:space="0"/>
            </w:tcBorders>
            <w:vAlign w:val="center"/>
          </w:tcPr>
          <w:p w14:paraId="1D2A67F7">
            <w:pPr>
              <w:widowControl/>
              <w:spacing w:line="240" w:lineRule="exact"/>
              <w:jc w:val="center"/>
              <w:rPr>
                <w:rFonts w:ascii="楷体_GB2312" w:eastAsia="楷体_GB2312" w:cs="宋体"/>
                <w:b w:val="0"/>
                <w:color w:val="000000"/>
                <w:spacing w:val="0"/>
                <w:sz w:val="24"/>
                <w:szCs w:val="24"/>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F669EF4">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获得奖项</w:t>
            </w:r>
          </w:p>
        </w:tc>
        <w:tc>
          <w:tcPr>
            <w:tcW w:w="5588" w:type="dxa"/>
            <w:tcBorders>
              <w:top w:val="single" w:color="auto" w:sz="4" w:space="0"/>
              <w:left w:val="single" w:color="auto" w:sz="4" w:space="0"/>
              <w:bottom w:val="single" w:color="auto" w:sz="4" w:space="0"/>
              <w:right w:val="single" w:color="auto" w:sz="4" w:space="0"/>
            </w:tcBorders>
            <w:shd w:val="clear" w:color="auto" w:fill="auto"/>
            <w:vAlign w:val="center"/>
          </w:tcPr>
          <w:p w14:paraId="7CB9397F">
            <w:pPr>
              <w:keepNext w:val="0"/>
              <w:keepLines w:val="0"/>
              <w:pageBreakBefore w:val="0"/>
              <w:widowControl/>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 w:val="0"/>
                <w:color w:val="000000"/>
                <w:spacing w:val="0"/>
                <w:sz w:val="18"/>
                <w:szCs w:val="18"/>
              </w:rPr>
            </w:pPr>
            <w:r>
              <w:rPr>
                <w:rFonts w:hint="eastAsia" w:asciiTheme="minorEastAsia" w:hAnsiTheme="minorEastAsia" w:eastAsiaTheme="minorEastAsia" w:cstheme="minorEastAsia"/>
                <w:b w:val="0"/>
                <w:color w:val="000000"/>
                <w:spacing w:val="-4"/>
                <w:sz w:val="18"/>
                <w:szCs w:val="18"/>
              </w:rPr>
              <w:t>获得国家级荣誉者每项得5分；获得国家部委和省级荣誉者每项得3分；获得市级荣誉者每项得1分。各项累加不超过5分。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DBEA70">
            <w:pPr>
              <w:widowControl/>
              <w:jc w:val="center"/>
              <w:rPr>
                <w:rFonts w:cs="宋体"/>
                <w:b w:val="0"/>
                <w:color w:val="000000"/>
                <w:spacing w:val="0"/>
                <w:sz w:val="24"/>
                <w:szCs w:val="24"/>
              </w:rPr>
            </w:pPr>
            <w:r>
              <w:rPr>
                <w:rFonts w:hint="eastAsia" w:cs="宋体"/>
                <w:b w:val="0"/>
                <w:color w:val="000000"/>
                <w:spacing w:val="0"/>
                <w:sz w:val="24"/>
                <w:szCs w:val="24"/>
              </w:rPr>
              <w:t>5</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1A0BB42">
            <w:pPr>
              <w:widowControl/>
              <w:spacing w:line="240" w:lineRule="exact"/>
              <w:jc w:val="center"/>
              <w:rPr>
                <w:rFonts w:cs="宋体"/>
                <w:b w:val="0"/>
                <w:color w:val="FF0000"/>
                <w:spacing w:val="0"/>
                <w:sz w:val="21"/>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6C677822">
            <w:pPr>
              <w:widowControl/>
              <w:spacing w:line="240" w:lineRule="exact"/>
              <w:jc w:val="center"/>
              <w:rPr>
                <w:rFonts w:cs="宋体"/>
                <w:b w:val="0"/>
                <w:color w:val="FF0000"/>
                <w:spacing w:val="0"/>
                <w:sz w:val="21"/>
                <w:szCs w:val="21"/>
              </w:rPr>
            </w:pPr>
          </w:p>
        </w:tc>
      </w:tr>
    </w:tbl>
    <w:p w14:paraId="0BBB3B44">
      <w:pPr>
        <w:keepNext w:val="0"/>
        <w:keepLines w:val="0"/>
        <w:pageBreakBefore w:val="0"/>
        <w:kinsoku/>
        <w:wordWrap/>
        <w:overflowPunct/>
        <w:topLinePunct w:val="0"/>
        <w:autoSpaceDE/>
        <w:autoSpaceDN/>
        <w:bidi w:val="0"/>
        <w:adjustRightInd/>
        <w:snapToGrid/>
        <w:spacing w:line="260" w:lineRule="exact"/>
        <w:ind w:firstLine="954" w:firstLineChars="500"/>
        <w:textAlignment w:val="auto"/>
        <w:rPr>
          <w:rFonts w:hint="eastAsia" w:ascii="仿宋_GB2312" w:eastAsia="仿宋_GB2312"/>
          <w:b/>
          <w:bCs/>
          <w:sz w:val="21"/>
          <w:szCs w:val="21"/>
          <w:lang w:eastAsia="zh-CN"/>
        </w:rPr>
      </w:pPr>
    </w:p>
    <w:p w14:paraId="3F80D1DB">
      <w:pPr>
        <w:keepNext w:val="0"/>
        <w:keepLines w:val="0"/>
        <w:pageBreakBefore w:val="0"/>
        <w:kinsoku/>
        <w:wordWrap/>
        <w:overflowPunct/>
        <w:topLinePunct w:val="0"/>
        <w:autoSpaceDE/>
        <w:autoSpaceDN/>
        <w:bidi w:val="0"/>
        <w:adjustRightInd/>
        <w:snapToGrid/>
        <w:spacing w:line="260" w:lineRule="exact"/>
        <w:ind w:firstLine="954" w:firstLineChars="500"/>
        <w:textAlignment w:val="auto"/>
        <w:rPr>
          <w:rFonts w:hint="eastAsia" w:eastAsia="宋体"/>
          <w:b/>
          <w:bCs/>
          <w:lang w:val="en-US" w:eastAsia="zh-CN"/>
        </w:rPr>
      </w:pPr>
      <w:r>
        <w:rPr>
          <w:rFonts w:hint="eastAsia" w:ascii="仿宋_GB2312" w:eastAsia="仿宋_GB2312"/>
          <w:b/>
          <w:bCs/>
          <w:sz w:val="21"/>
          <w:szCs w:val="21"/>
          <w:lang w:eastAsia="zh-CN"/>
        </w:rPr>
        <w:t>身份证号码：</w:t>
      </w:r>
      <w:r>
        <w:rPr>
          <w:rFonts w:hint="eastAsia" w:ascii="仿宋_GB2312" w:eastAsia="仿宋_GB2312"/>
          <w:b/>
          <w:bCs/>
          <w:sz w:val="21"/>
          <w:szCs w:val="21"/>
          <w:lang w:val="en-US" w:eastAsia="zh-CN"/>
        </w:rPr>
        <w:t xml:space="preserve">                           本人签字（捺印）：                        年   月   日</w:t>
      </w:r>
    </w:p>
    <w:p w14:paraId="5FFA621B">
      <w:pPr>
        <w:keepNext w:val="0"/>
        <w:keepLines w:val="0"/>
        <w:pageBreakBefore w:val="0"/>
        <w:kinsoku/>
        <w:wordWrap/>
        <w:overflowPunct/>
        <w:topLinePunct w:val="0"/>
        <w:autoSpaceDE/>
        <w:autoSpaceDN/>
        <w:bidi w:val="0"/>
        <w:adjustRightInd/>
        <w:snapToGrid/>
        <w:spacing w:line="260" w:lineRule="exact"/>
        <w:ind w:firstLine="340"/>
        <w:textAlignment w:val="auto"/>
        <w:rPr>
          <w:rFonts w:hint="eastAsia" w:ascii="仿宋_GB2312" w:eastAsia="仿宋_GB2312"/>
          <w:b/>
          <w:bCs/>
          <w:sz w:val="21"/>
          <w:szCs w:val="21"/>
        </w:rPr>
      </w:pPr>
    </w:p>
    <w:p w14:paraId="32E4204F">
      <w:pPr>
        <w:spacing w:line="600" w:lineRule="exact"/>
        <w:jc w:val="center"/>
        <w:rPr>
          <w:rFonts w:hint="eastAsia" w:ascii="方正小标宋简体" w:hAnsi="黑体" w:eastAsia="方正小标宋简体"/>
          <w:b w:val="0"/>
          <w:bCs/>
          <w:sz w:val="44"/>
          <w:szCs w:val="44"/>
        </w:rPr>
      </w:pPr>
      <w:r>
        <w:rPr>
          <w:rFonts w:hint="eastAsia" w:ascii="方正小标宋简体" w:hAnsi="黑体" w:eastAsia="方正小标宋简体"/>
          <w:b w:val="0"/>
          <w:bCs/>
          <w:sz w:val="44"/>
          <w:szCs w:val="44"/>
          <w:lang w:val="en-US" w:eastAsia="zh-CN"/>
        </w:rPr>
        <w:t>奈曼旗</w:t>
      </w:r>
      <w:r>
        <w:rPr>
          <w:rFonts w:hint="eastAsia" w:ascii="方正小标宋简体" w:hAnsi="黑体" w:eastAsia="方正小标宋简体"/>
          <w:b w:val="0"/>
          <w:bCs/>
          <w:sz w:val="44"/>
          <w:szCs w:val="44"/>
          <w:lang w:eastAsia="zh-CN"/>
        </w:rPr>
        <w:t>事业单位引进</w:t>
      </w:r>
      <w:r>
        <w:rPr>
          <w:rFonts w:hint="eastAsia" w:ascii="方正小标宋简体" w:hAnsi="黑体" w:eastAsia="方正小标宋简体"/>
          <w:b w:val="0"/>
          <w:bCs/>
          <w:sz w:val="44"/>
          <w:szCs w:val="44"/>
        </w:rPr>
        <w:t>人才评价表</w:t>
      </w:r>
    </w:p>
    <w:p w14:paraId="397CE5A7">
      <w:pPr>
        <w:spacing w:line="600" w:lineRule="exact"/>
        <w:jc w:val="center"/>
        <w:rPr>
          <w:rFonts w:ascii="方正小标宋简体" w:hAnsi="黑体" w:eastAsia="方正小标宋简体"/>
          <w:b w:val="0"/>
          <w:bCs/>
          <w:sz w:val="44"/>
          <w:szCs w:val="44"/>
        </w:rPr>
      </w:pPr>
      <w:r>
        <w:rPr>
          <w:rFonts w:hint="eastAsia" w:ascii="方正小标宋简体" w:hAnsi="黑体" w:eastAsia="方正小标宋简体"/>
          <w:b w:val="0"/>
          <w:bCs/>
          <w:sz w:val="44"/>
          <w:szCs w:val="44"/>
        </w:rPr>
        <w:t>填报说明</w:t>
      </w:r>
    </w:p>
    <w:p w14:paraId="54FD0FC0">
      <w:pPr>
        <w:spacing w:line="560" w:lineRule="exact"/>
        <w:ind w:firstLine="600" w:firstLineChars="200"/>
        <w:rPr>
          <w:rFonts w:ascii="黑体" w:hAnsi="黑体" w:eastAsia="黑体" w:cs="黑体"/>
          <w:b w:val="0"/>
          <w:bCs/>
          <w:sz w:val="32"/>
          <w:szCs w:val="32"/>
        </w:rPr>
      </w:pPr>
    </w:p>
    <w:p w14:paraId="528A4A8D">
      <w:pPr>
        <w:spacing w:line="560" w:lineRule="exact"/>
        <w:ind w:firstLine="600" w:firstLineChars="200"/>
        <w:rPr>
          <w:rFonts w:ascii="黑体" w:hAnsi="黑体" w:eastAsia="黑体" w:cs="黑体"/>
          <w:b w:val="0"/>
          <w:bCs/>
          <w:sz w:val="32"/>
          <w:szCs w:val="32"/>
        </w:rPr>
      </w:pPr>
      <w:r>
        <w:rPr>
          <w:rFonts w:ascii="黑体" w:hAnsi="黑体" w:eastAsia="黑体" w:cs="黑体"/>
          <w:b w:val="0"/>
          <w:bCs/>
          <w:sz w:val="32"/>
          <w:szCs w:val="32"/>
        </w:rPr>
        <w:t>一、专业层次方面</w:t>
      </w:r>
    </w:p>
    <w:p w14:paraId="116F87F4">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14:paraId="562BAD5E">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（二）在一流学科认定上，所学专业须属该学科内专业。</w:t>
      </w:r>
    </w:p>
    <w:p w14:paraId="472A6A42">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（三）海外学历学校排名以2022、2023年度世界综合排名（《QS世界大学排名》、上海软科世界大学排名、泰晤士报《全球顶尖大学排行榜》、U.S.News《全球最佳大学排行榜》之一）为准。</w:t>
      </w:r>
    </w:p>
    <w:p w14:paraId="5DF85A07">
      <w:pPr>
        <w:spacing w:line="560" w:lineRule="exact"/>
        <w:ind w:firstLine="600" w:firstLineChars="200"/>
        <w:rPr>
          <w:rFonts w:ascii="黑体" w:hAnsi="黑体" w:eastAsia="黑体" w:cs="黑体"/>
          <w:b w:val="0"/>
          <w:bCs/>
          <w:sz w:val="32"/>
          <w:szCs w:val="32"/>
        </w:rPr>
      </w:pPr>
      <w:r>
        <w:rPr>
          <w:rFonts w:ascii="黑体" w:hAnsi="黑体" w:eastAsia="黑体" w:cs="黑体"/>
          <w:b w:val="0"/>
          <w:bCs/>
          <w:sz w:val="32"/>
          <w:szCs w:val="32"/>
        </w:rPr>
        <w:t>二、科研成果方面</w:t>
      </w:r>
    </w:p>
    <w:p w14:paraId="4DD2A594">
      <w:pPr>
        <w:spacing w:line="560" w:lineRule="exact"/>
        <w:ind w:firstLine="600" w:firstLineChars="200"/>
        <w:rPr>
          <w:rFonts w:ascii="Times New Roman" w:hAnsi="Times New Roman" w:eastAsia="方正仿宋_GB2312" w:cs="Times New Roman"/>
          <w:b w:val="0"/>
          <w:bCs/>
          <w:sz w:val="32"/>
          <w:szCs w:val="32"/>
        </w:rPr>
      </w:pPr>
      <w:r>
        <w:rPr>
          <w:rFonts w:hint="eastAsia" w:ascii="Times New Roman" w:hAnsi="Times New Roman" w:eastAsia="方正仿宋_GB2312" w:cs="Times New Roman"/>
          <w:b w:val="0"/>
          <w:bCs/>
          <w:sz w:val="32"/>
          <w:szCs w:val="32"/>
        </w:rPr>
        <w:t>论文</w:t>
      </w:r>
      <w:r>
        <w:rPr>
          <w:rFonts w:ascii="Times New Roman" w:hAnsi="Times New Roman" w:eastAsia="方正仿宋_GB2312" w:cs="Times New Roman"/>
          <w:b w:val="0"/>
          <w:bCs/>
          <w:sz w:val="32"/>
          <w:szCs w:val="32"/>
        </w:rPr>
        <w:t>需提供检索报告、扫描文本</w:t>
      </w:r>
      <w:r>
        <w:rPr>
          <w:rFonts w:hint="eastAsia" w:ascii="Times New Roman" w:hAnsi="Times New Roman" w:eastAsia="方正仿宋_GB2312" w:cs="Times New Roman"/>
          <w:b w:val="0"/>
          <w:bCs/>
          <w:sz w:val="32"/>
          <w:szCs w:val="32"/>
        </w:rPr>
        <w:t>等材料，SCI、SSCI分区以中科院年度分区为准，独立或通讯第一作者，并列第一作者降一档计分，非第一作者或并列第二顺序以后通讯作者不计分，首次报道类文章不作为学术论文计分；发明专利需提供</w:t>
      </w:r>
      <w:r>
        <w:rPr>
          <w:rFonts w:ascii="Times New Roman" w:hAnsi="Times New Roman" w:eastAsia="方正仿宋_GB2312" w:cs="Times New Roman"/>
          <w:b w:val="0"/>
          <w:bCs/>
          <w:sz w:val="32"/>
          <w:szCs w:val="32"/>
        </w:rPr>
        <w:t>作品文件、专利证书等材料，实用新型、外观设计专利不得分。</w:t>
      </w:r>
    </w:p>
    <w:p w14:paraId="5E6F82CE">
      <w:pPr>
        <w:spacing w:line="56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三、职业资格方面</w:t>
      </w:r>
    </w:p>
    <w:p w14:paraId="77CFE7FA">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（一）需提供职业资格证原件及复印件，并可在职业技能证书全国联网查询系统中查询。</w:t>
      </w:r>
    </w:p>
    <w:p w14:paraId="16AB3CE8">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（二）可按照级别划分的准入类专业技术人员职业资格，如：取得法律职业资格A证得5分。</w:t>
      </w:r>
    </w:p>
    <w:p w14:paraId="1C3C7957">
      <w:pPr>
        <w:spacing w:line="54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（三）关于专业技术人员职业资格及职业资格与职称对应关系认定以《国家职业资格目录》及内蒙古自治区人社厅《2020年关于更新公布专业技术类职业资格与职称对应关系表的说明》为准。</w:t>
      </w:r>
    </w:p>
    <w:p w14:paraId="6FF397A8">
      <w:pPr>
        <w:spacing w:line="54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p w14:paraId="6EEEBFF4">
      <w:pPr>
        <w:spacing w:line="56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四、专业技术职称方面</w:t>
      </w:r>
    </w:p>
    <w:p w14:paraId="1B82DAA2">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（一）要求为社会化专业技术职称。</w:t>
      </w:r>
    </w:p>
    <w:p w14:paraId="0D950D3A">
      <w:pPr>
        <w:spacing w:line="560" w:lineRule="exact"/>
        <w:ind w:firstLine="600" w:firstLineChars="200"/>
        <w:rPr>
          <w:rFonts w:ascii="黑体" w:hAnsi="黑体" w:eastAsia="黑体" w:cs="黑体"/>
          <w:b w:val="0"/>
          <w:bCs/>
          <w:sz w:val="32"/>
          <w:szCs w:val="32"/>
        </w:rPr>
      </w:pPr>
      <w:r>
        <w:rPr>
          <w:rFonts w:ascii="Times New Roman" w:hAnsi="Times New Roman" w:eastAsia="方正仿宋_GB2312" w:cs="Times New Roman"/>
          <w:b w:val="0"/>
          <w:bCs/>
          <w:sz w:val="32"/>
          <w:szCs w:val="32"/>
        </w:rPr>
        <w:t>（二）需提供职称证，并可在相应查询系统中查询。</w:t>
      </w:r>
    </w:p>
    <w:p w14:paraId="5FB1DB5C">
      <w:pPr>
        <w:spacing w:line="54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五、获得奖项方面</w:t>
      </w:r>
    </w:p>
    <w:p w14:paraId="5617A754">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0E97452E">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（二）学校授予的荣誉不计算得分</w:t>
      </w:r>
      <w:r>
        <w:rPr>
          <w:rFonts w:hint="eastAsia" w:ascii="Times New Roman" w:hAnsi="Times New Roman" w:eastAsia="方正仿宋_GB2312" w:cs="Times New Roman"/>
          <w:b w:val="0"/>
          <w:bCs/>
          <w:sz w:val="32"/>
          <w:szCs w:val="32"/>
        </w:rPr>
        <w:t>，</w:t>
      </w:r>
      <w:r>
        <w:rPr>
          <w:rFonts w:hint="eastAsia" w:ascii="Times New Roman" w:hAnsi="Times New Roman" w:eastAsia="方正仿宋_GB2312" w:cs="Times New Roman"/>
          <w:b w:val="0"/>
          <w:bCs/>
          <w:sz w:val="32"/>
          <w:szCs w:val="32"/>
        </w:rPr>
        <w:t>在校期间获得的各类奖学金不计算得分。</w:t>
      </w:r>
    </w:p>
    <w:p w14:paraId="75C52826">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（三）各类协会、社会组织、组委会发放证书的不加分。</w:t>
      </w:r>
    </w:p>
    <w:p w14:paraId="1E5B2FE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val="0"/>
          <w:bCs/>
          <w:sz w:val="21"/>
          <w:szCs w:val="21"/>
          <w:lang w:val="en-US" w:eastAsia="zh-CN"/>
        </w:rPr>
      </w:pPr>
    </w:p>
    <w:p w14:paraId="463EB2DA">
      <w:pPr>
        <w:spacing w:line="540" w:lineRule="exact"/>
        <w:ind w:firstLine="60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其他</w:t>
      </w:r>
    </w:p>
    <w:p w14:paraId="2BF5B0CE">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1.特殊人才: 1. SCI、SSCI一区检索超过2篇（含）、二区检索超过3篇（含）、三区检索超过5篇（含）者，人才评价按满分计算（100分），须为第一作者，不含并列第一作者。</w:t>
      </w:r>
    </w:p>
    <w:p w14:paraId="70DA6D76">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2.获得国家级荣誉3项（含）以上者，人才评价按满分计算（100分）。</w:t>
      </w:r>
    </w:p>
    <w:p w14:paraId="6D0C6A09">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3.符合条件的博士研究生报名直接进入体检、考察环节。</w:t>
      </w:r>
    </w:p>
    <w:sectPr>
      <w:pgSz w:w="11906" w:h="16838"/>
      <w:pgMar w:top="1020" w:right="850" w:bottom="102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0B983D-9F72-41D9-936B-57342360D9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77AED3A-DF5E-4DBC-A1FE-F6DB51014C5F}"/>
  </w:font>
  <w:font w:name="方正小标宋简体">
    <w:panose1 w:val="02000000000000000000"/>
    <w:charset w:val="86"/>
    <w:family w:val="auto"/>
    <w:pitch w:val="default"/>
    <w:sig w:usb0="00000001" w:usb1="08000000" w:usb2="00000000" w:usb3="00000000" w:csb0="00040000" w:csb1="00000000"/>
    <w:embedRegular r:id="rId3" w:fontKey="{514E29D5-B1D8-479F-A9B9-6DD7B225B11C}"/>
  </w:font>
  <w:font w:name="楷体_GB2312">
    <w:altName w:val="楷体"/>
    <w:panose1 w:val="02010609030101010101"/>
    <w:charset w:val="86"/>
    <w:family w:val="modern"/>
    <w:pitch w:val="default"/>
    <w:sig w:usb0="00000000" w:usb1="00000000" w:usb2="00000000" w:usb3="00000000" w:csb0="00040000" w:csb1="00000000"/>
    <w:embedRegular r:id="rId4" w:fontKey="{2329EE65-5CC2-4AF2-8496-1AF8726DB7FB}"/>
  </w:font>
  <w:font w:name="楷体">
    <w:panose1 w:val="02010609060101010101"/>
    <w:charset w:val="86"/>
    <w:family w:val="modern"/>
    <w:pitch w:val="default"/>
    <w:sig w:usb0="800002BF" w:usb1="38CF7CFA" w:usb2="00000016" w:usb3="00000000" w:csb0="00040001" w:csb1="00000000"/>
    <w:embedRegular r:id="rId5" w:fontKey="{FEE91314-6D6F-4046-A6F1-FD0E2C77C0E7}"/>
  </w:font>
  <w:font w:name="方正仿宋_GB2312">
    <w:panose1 w:val="02000000000000000000"/>
    <w:charset w:val="86"/>
    <w:family w:val="auto"/>
    <w:pitch w:val="default"/>
    <w:sig w:usb0="A00002BF" w:usb1="184F6CFA" w:usb2="00000012" w:usb3="00000000" w:csb0="00040001" w:csb1="00000000"/>
    <w:embedRegular r:id="rId6" w:fontKey="{38BF4001-2057-4DEF-8A02-324975BD6AF9}"/>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7" w:fontKey="{1439B42F-45F3-43F3-BA9B-AFFCE90A88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NTU5YWQ5NmMwNDQ1NmYzY2VhMzc3NjMxNWI2YTcifQ=="/>
  </w:docVars>
  <w:rsids>
    <w:rsidRoot w:val="464025A8"/>
    <w:rsid w:val="003357D8"/>
    <w:rsid w:val="03FB660C"/>
    <w:rsid w:val="077C0992"/>
    <w:rsid w:val="08AF4730"/>
    <w:rsid w:val="08F5187C"/>
    <w:rsid w:val="12157C38"/>
    <w:rsid w:val="12397985"/>
    <w:rsid w:val="16675E44"/>
    <w:rsid w:val="1E103821"/>
    <w:rsid w:val="2AFE2018"/>
    <w:rsid w:val="31393666"/>
    <w:rsid w:val="3340656A"/>
    <w:rsid w:val="36211653"/>
    <w:rsid w:val="372129BA"/>
    <w:rsid w:val="3B7F30A4"/>
    <w:rsid w:val="3CAE211E"/>
    <w:rsid w:val="3E622809"/>
    <w:rsid w:val="42081788"/>
    <w:rsid w:val="464025A8"/>
    <w:rsid w:val="4AF45637"/>
    <w:rsid w:val="4CA801AB"/>
    <w:rsid w:val="4E16224E"/>
    <w:rsid w:val="517D19DC"/>
    <w:rsid w:val="59D61361"/>
    <w:rsid w:val="5CED3EB9"/>
    <w:rsid w:val="5ED85CC4"/>
    <w:rsid w:val="5EDAEB65"/>
    <w:rsid w:val="5F761860"/>
    <w:rsid w:val="60480E48"/>
    <w:rsid w:val="622B2AF0"/>
    <w:rsid w:val="639530AB"/>
    <w:rsid w:val="68DD68DF"/>
    <w:rsid w:val="6EBC193D"/>
    <w:rsid w:val="6F235519"/>
    <w:rsid w:val="705D5574"/>
    <w:rsid w:val="76375D4D"/>
    <w:rsid w:val="7E72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spacing w:val="-1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2420</Words>
  <Characters>2556</Characters>
  <Lines>0</Lines>
  <Paragraphs>0</Paragraphs>
  <TotalTime>10</TotalTime>
  <ScaleCrop>false</ScaleCrop>
  <LinksUpToDate>false</LinksUpToDate>
  <CharactersWithSpaces>2692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2024-07-22T11:50:00Z</dcterms:created>
  <dc:creator>科尔沁区人社局</dc:creator>
  <cp:lastModifiedBy>张小赞_st</cp:lastModifiedBy>
  <cp:lastPrinted>2024-09-24T09:05:13Z</cp:lastPrinted>
  <dcterms:modified xsi:type="dcterms:W3CDTF">2024-09-24T09:15:28Z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5F4CEAD4703649F6A0BE84EA857FB3A9_13</vt:lpwstr>
  </property>
</Properties>
</file>