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2C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pPr>
      <w:r>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t>2024年满洲里综合保税区管理委员会</w:t>
      </w:r>
    </w:p>
    <w:p w14:paraId="6840F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pPr>
      <w:r>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t>所属事业单位人才引进公告（第二批）</w:t>
      </w:r>
    </w:p>
    <w:p w14:paraId="3DCCA4F7">
      <w:pPr>
        <w:pStyle w:val="2"/>
        <w:spacing w:after="0" w:afterLines="0" w:afterAutospacing="0"/>
        <w:ind w:left="0" w:leftChars="0" w:firstLine="0" w:firstLineChars="0"/>
        <w:rPr>
          <w:rFonts w:hint="eastAsia"/>
          <w:lang w:val="en-US" w:eastAsia="zh-CN"/>
        </w:rPr>
      </w:pPr>
      <w:bookmarkStart w:id="0" w:name="_GoBack"/>
      <w:bookmarkEnd w:id="0"/>
    </w:p>
    <w:p w14:paraId="417F8270">
      <w:pPr>
        <w:keepNext w:val="0"/>
        <w:keepLines w:val="0"/>
        <w:pageBreakBefore w:val="0"/>
        <w:widowControl w:val="0"/>
        <w:kinsoku/>
        <w:overflowPunct/>
        <w:topLinePunct w:val="0"/>
        <w:autoSpaceDE/>
        <w:autoSpaceDN/>
        <w:bidi w:val="0"/>
        <w:adjustRightInd/>
        <w:spacing w:beforeAutospacing="0"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w:t>
      </w:r>
      <w:r>
        <w:rPr>
          <w:rFonts w:hint="eastAsia" w:ascii="仿宋" w:hAnsi="仿宋" w:eastAsia="仿宋"/>
          <w:color w:val="auto"/>
          <w:sz w:val="32"/>
          <w:szCs w:val="32"/>
          <w:highlight w:val="none"/>
          <w:u w:val="none"/>
          <w:lang w:val="en-US" w:eastAsia="zh-CN"/>
        </w:rPr>
        <w:t>相关规定</w:t>
      </w:r>
      <w:r>
        <w:rPr>
          <w:rFonts w:hint="eastAsia" w:ascii="仿宋" w:hAnsi="仿宋" w:eastAsia="仿宋"/>
          <w:color w:val="auto"/>
          <w:sz w:val="32"/>
          <w:szCs w:val="32"/>
          <w:u w:val="none"/>
        </w:rPr>
        <w:t>，</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满洲里综合保税区管理委员会</w:t>
      </w:r>
      <w:r>
        <w:rPr>
          <w:rFonts w:hint="eastAsia" w:ascii="仿宋" w:hAnsi="仿宋" w:eastAsia="仿宋"/>
          <w:color w:val="auto"/>
          <w:sz w:val="32"/>
          <w:szCs w:val="32"/>
        </w:rPr>
        <w:t>所属事业单位工作需要，</w:t>
      </w:r>
      <w:r>
        <w:rPr>
          <w:rFonts w:hint="eastAsia" w:ascii="仿宋" w:hAnsi="仿宋" w:eastAsia="仿宋"/>
          <w:color w:val="auto"/>
          <w:sz w:val="32"/>
          <w:szCs w:val="32"/>
          <w:u w:val="none"/>
          <w:lang w:val="en-US" w:eastAsia="zh-CN"/>
        </w:rPr>
        <w:t>经研究决定，</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14:paraId="48B40C6F">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14:paraId="32254460">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满洲里综合保税区管理委员会</w:t>
      </w:r>
      <w:r>
        <w:rPr>
          <w:rFonts w:hint="eastAsia" w:ascii="仿宋" w:hAnsi="仿宋" w:eastAsia="仿宋"/>
          <w:color w:val="auto"/>
          <w:sz w:val="32"/>
          <w:szCs w:val="32"/>
        </w:rPr>
        <w:t>所属事业单位计划引进人</w:t>
      </w:r>
      <w:r>
        <w:rPr>
          <w:rFonts w:hint="eastAsia" w:ascii="仿宋" w:hAnsi="仿宋" w:eastAsia="仿宋"/>
          <w:color w:val="auto"/>
          <w:sz w:val="32"/>
          <w:szCs w:val="32"/>
          <w:highlight w:val="none"/>
        </w:rPr>
        <w:t>才</w:t>
      </w:r>
      <w:r>
        <w:rPr>
          <w:rFonts w:hint="eastAsia" w:ascii="仿宋" w:hAnsi="仿宋" w:eastAsia="仿宋"/>
          <w:color w:val="auto"/>
          <w:sz w:val="32"/>
          <w:szCs w:val="32"/>
          <w:highlight w:val="none"/>
          <w:lang w:val="en-US" w:eastAsia="zh-CN"/>
        </w:rPr>
        <w:t>3名</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w:t>
      </w:r>
      <w:r>
        <w:rPr>
          <w:rFonts w:hint="eastAsia" w:ascii="仿宋" w:hAnsi="仿宋" w:eastAsia="仿宋" w:cs="仿宋_GB2312"/>
          <w:sz w:val="32"/>
          <w:szCs w:val="32"/>
          <w:highlight w:val="none"/>
        </w:rPr>
        <w:t>202</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年满洲里综合保税区管理委员会所属事业单位人才引进</w:t>
      </w:r>
      <w:r>
        <w:rPr>
          <w:rFonts w:hint="eastAsia" w:ascii="仿宋" w:hAnsi="仿宋" w:eastAsia="仿宋" w:cs="仿宋_GB2312"/>
          <w:sz w:val="32"/>
          <w:szCs w:val="32"/>
          <w:highlight w:val="none"/>
          <w:lang w:val="en-US" w:eastAsia="zh-CN"/>
        </w:rPr>
        <w:t>岗位</w:t>
      </w:r>
      <w:r>
        <w:rPr>
          <w:rFonts w:hint="eastAsia" w:ascii="仿宋" w:hAnsi="仿宋" w:eastAsia="仿宋" w:cs="仿宋_GB2312"/>
          <w:sz w:val="32"/>
          <w:szCs w:val="32"/>
          <w:highlight w:val="none"/>
        </w:rPr>
        <w:t>需求表</w:t>
      </w:r>
      <w:r>
        <w:rPr>
          <w:rFonts w:hint="eastAsia" w:ascii="仿宋" w:hAnsi="仿宋" w:eastAsia="仿宋"/>
          <w:color w:val="auto"/>
          <w:sz w:val="32"/>
          <w:szCs w:val="32"/>
        </w:rPr>
        <w:t>》（以下简称《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14:paraId="5A222B82">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14:paraId="5B7C0351">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14:paraId="2DEF8C2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14:paraId="6B65615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14:paraId="66F8071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14:paraId="152A724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4.品行端正，具有较强的事业心和责任感；遵守职业道德规范，</w:t>
      </w:r>
      <w:r>
        <w:rPr>
          <w:rFonts w:hint="eastAsia" w:ascii="仿宋" w:hAnsi="仿宋" w:eastAsia="仿宋" w:cs="仿宋"/>
          <w:color w:val="auto"/>
          <w:sz w:val="32"/>
          <w:szCs w:val="32"/>
          <w:highlight w:val="none"/>
          <w:u w:val="none"/>
          <w:lang w:val="en-US" w:eastAsia="zh-CN"/>
        </w:rPr>
        <w:t>无违法违纪行为，</w:t>
      </w:r>
      <w:r>
        <w:rPr>
          <w:rFonts w:hint="eastAsia" w:ascii="仿宋" w:hAnsi="仿宋" w:eastAsia="仿宋" w:cs="仿宋"/>
          <w:color w:val="auto"/>
          <w:sz w:val="32"/>
          <w:szCs w:val="32"/>
          <w:highlight w:val="none"/>
          <w:lang w:val="en-US" w:eastAsia="zh-CN"/>
        </w:rPr>
        <w:t>具有良好的品行、正常履行职责的身体条件和心理素质，具备相关基本能力；</w:t>
      </w:r>
    </w:p>
    <w:p w14:paraId="5087866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_GB2312" w:hAnsi="仿宋_GB2312" w:eastAsia="仿宋_GB2312" w:cs="仿宋_GB2312"/>
          <w:sz w:val="32"/>
          <w:szCs w:val="32"/>
          <w:highlight w:val="none"/>
        </w:rPr>
        <w:t>本科生报考应具有一流大学、一流学科建设高校或原“985”“211”高校相关专业全日制本科学历并取得相应学位；研究生以上学历报考应具有相关专业全日制研究生以上学历并取得相应学位</w:t>
      </w:r>
      <w:r>
        <w:rPr>
          <w:rFonts w:hint="eastAsia" w:ascii="仿宋_GB2312" w:hAnsi="仿宋_GB2312" w:eastAsia="仿宋_GB2312" w:cs="仿宋_GB2312"/>
          <w:sz w:val="32"/>
          <w:szCs w:val="32"/>
          <w:highlight w:val="none"/>
          <w:lang w:val="en-US" w:eastAsia="zh-CN"/>
        </w:rPr>
        <w:t>且本科起点需为一流大学、一流学科建设高校或原“985”“211”高校全日制本科学历并取得相应学位</w:t>
      </w:r>
      <w:r>
        <w:rPr>
          <w:rFonts w:hint="eastAsia" w:ascii="仿宋_GB2312" w:hAnsi="仿宋_GB2312" w:eastAsia="仿宋_GB2312" w:cs="仿宋_GB2312"/>
          <w:color w:val="auto"/>
          <w:sz w:val="32"/>
          <w:szCs w:val="32"/>
          <w:highlight w:val="none"/>
          <w:lang w:val="en-US" w:eastAsia="zh-CN"/>
        </w:rPr>
        <w:t>；</w:t>
      </w:r>
    </w:p>
    <w:p w14:paraId="5E79087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_GB2312" w:hAnsi="仿宋_GB2312" w:eastAsia="仿宋_GB2312" w:cs="仿宋_GB2312"/>
          <w:sz w:val="32"/>
          <w:szCs w:val="32"/>
          <w:highlight w:val="none"/>
        </w:rPr>
        <w:t>政策研究和经济分析岗专业为</w:t>
      </w:r>
      <w:r>
        <w:rPr>
          <w:rFonts w:hint="eastAsia" w:ascii="仿宋_GB2312" w:hAnsi="仿宋_GB2312" w:eastAsia="仿宋_GB2312" w:cs="仿宋_GB2312"/>
          <w:color w:val="auto"/>
          <w:sz w:val="32"/>
          <w:szCs w:val="32"/>
          <w:highlight w:val="none"/>
          <w:lang w:eastAsia="zh-CN"/>
        </w:rPr>
        <w:t>本科：国际经济与贸易、经济统计学、数字经济、经济与金融、国际经贸规划；研究生：应用经济学、国际法学</w:t>
      </w:r>
      <w:r>
        <w:rPr>
          <w:rFonts w:hint="eastAsia" w:ascii="仿宋_GB2312" w:hAnsi="仿宋_GB2312" w:eastAsia="仿宋_GB2312" w:cs="仿宋_GB2312"/>
          <w:color w:val="auto"/>
          <w:kern w:val="0"/>
          <w:sz w:val="32"/>
          <w:szCs w:val="32"/>
          <w:highlight w:val="none"/>
          <w:lang w:val="en-US" w:eastAsia="zh-CN" w:bidi="ar"/>
        </w:rPr>
        <w:t>；</w:t>
      </w:r>
    </w:p>
    <w:p w14:paraId="4663A06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铁路专用线项目岗专业为本科：物流管理、物流工程、海关管理、交通管理、跨境电子商务；研究生：行政管理、公共管理、国际贸易学、国际商务；</w:t>
      </w:r>
    </w:p>
    <w:p w14:paraId="3F0B407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lang w:val="en-US" w:eastAsia="zh-CN"/>
        </w:rPr>
      </w:pPr>
      <w:r>
        <w:rPr>
          <w:rFonts w:hint="eastAsia" w:ascii="仿宋_GB2312" w:hAnsi="仿宋_GB2312" w:eastAsia="仿宋_GB2312" w:cs="仿宋_GB2312"/>
          <w:color w:val="auto"/>
          <w:kern w:val="0"/>
          <w:sz w:val="32"/>
          <w:szCs w:val="32"/>
          <w:highlight w:val="none"/>
          <w:lang w:val="en-US" w:eastAsia="zh-CN" w:bidi="ar"/>
        </w:rPr>
        <w:t>项目编制管理岗专业为本科：城乡规划、智慧交通；研究生：道路与铁道工程、交通运输、城乡规划学、产业经济学；</w:t>
      </w:r>
    </w:p>
    <w:p w14:paraId="32FA2B4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_GB2312" w:hAnsi="仿宋_GB2312" w:eastAsia="仿宋_GB2312" w:cs="仿宋_GB2312"/>
          <w:sz w:val="32"/>
          <w:szCs w:val="32"/>
          <w:highlight w:val="none"/>
          <w:lang w:val="en-US" w:eastAsia="zh-CN"/>
        </w:rPr>
        <w:t>全日制本科生不超过35周岁（1988年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月30日以后出生），硕士研究生不超过40周岁（1983年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月30日以后出生），</w:t>
      </w:r>
      <w:r>
        <w:rPr>
          <w:rFonts w:hint="eastAsia" w:ascii="仿宋_GB2312" w:hAnsi="仿宋_GB2312" w:eastAsia="仿宋_GB2312" w:cs="仿宋_GB2312"/>
          <w:sz w:val="32"/>
          <w:szCs w:val="32"/>
          <w:highlight w:val="none"/>
          <w:u w:val="none"/>
          <w:lang w:val="en-US" w:eastAsia="zh-CN"/>
        </w:rPr>
        <w:t>博士研究生原则上不超过45周岁（1978年</w:t>
      </w: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sz w:val="32"/>
          <w:szCs w:val="32"/>
          <w:highlight w:val="none"/>
          <w:u w:val="none"/>
          <w:lang w:val="en-US" w:eastAsia="zh-CN"/>
        </w:rPr>
        <w:t>月30日以后出生）</w:t>
      </w:r>
      <w:r>
        <w:rPr>
          <w:rFonts w:hint="eastAsia" w:ascii="仿宋" w:hAnsi="仿宋" w:eastAsia="仿宋" w:cs="仿宋"/>
          <w:color w:val="auto"/>
          <w:sz w:val="32"/>
          <w:szCs w:val="32"/>
          <w:highlight w:val="none"/>
          <w:lang w:val="en-US" w:eastAsia="zh-CN"/>
        </w:rPr>
        <w:t>；</w:t>
      </w:r>
    </w:p>
    <w:p w14:paraId="7E97B33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7.学历及其他资格条件所取得时间为2024年7月31日前；</w:t>
      </w:r>
    </w:p>
    <w:p w14:paraId="5B7F7D40">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8.岗位所需的其他条件。</w:t>
      </w:r>
    </w:p>
    <w:p w14:paraId="498AF04F">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14:paraId="51B1FEE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14:paraId="7257DE1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14:paraId="47B88EF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14:paraId="6BB3702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14:paraId="2514426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14:paraId="68970D4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14:paraId="53272A6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14:paraId="354B8948">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14:paraId="18E716E6">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14:paraId="0E5ED180">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u w:val="none"/>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u w:val="none"/>
          <w:lang w:val="en-US" w:eastAsia="zh-CN"/>
        </w:rPr>
        <w:t>、</w:t>
      </w:r>
      <w:r>
        <w:rPr>
          <w:rFonts w:hint="eastAsia" w:ascii="仿宋" w:hAnsi="仿宋" w:eastAsia="仿宋"/>
          <w:sz w:val="32"/>
          <w:szCs w:val="32"/>
          <w:highlight w:val="none"/>
          <w:u w:val="none"/>
        </w:rPr>
        <w:t>满洲里市融媒体中心</w:t>
      </w:r>
      <w:r>
        <w:rPr>
          <w:rFonts w:hint="eastAsia" w:ascii="仿宋" w:hAnsi="仿宋" w:eastAsia="仿宋"/>
          <w:color w:val="auto"/>
          <w:sz w:val="32"/>
          <w:szCs w:val="32"/>
          <w:u w:val="none"/>
          <w:lang w:val="en-US" w:eastAsia="zh-CN"/>
        </w:rPr>
        <w:t>向社会</w:t>
      </w:r>
      <w:r>
        <w:rPr>
          <w:rFonts w:hint="eastAsia" w:ascii="仿宋" w:hAnsi="仿宋" w:eastAsia="仿宋"/>
          <w:color w:val="auto"/>
          <w:sz w:val="32"/>
          <w:szCs w:val="32"/>
          <w:u w:val="none"/>
        </w:rPr>
        <w:t>发布公告</w:t>
      </w:r>
      <w:r>
        <w:rPr>
          <w:rFonts w:hint="eastAsia" w:ascii="仿宋" w:hAnsi="仿宋" w:eastAsia="仿宋"/>
          <w:color w:val="auto"/>
          <w:sz w:val="32"/>
          <w:szCs w:val="32"/>
          <w:u w:val="none"/>
          <w:lang w:eastAsia="zh-CN"/>
        </w:rPr>
        <w:t>。</w:t>
      </w:r>
    </w:p>
    <w:p w14:paraId="3FCCC34C">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14:paraId="1E7B1F63">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报名时间：2024</w:t>
      </w:r>
      <w:r>
        <w:rPr>
          <w:rFonts w:hint="eastAsia" w:ascii="仿宋" w:hAnsi="仿宋" w:eastAsia="仿宋"/>
          <w:color w:val="auto"/>
          <w:sz w:val="32"/>
          <w:szCs w:val="32"/>
          <w:lang w:val="en-US" w:eastAsia="zh-CN"/>
        </w:rPr>
        <w:t>年9月26日--10月12日</w:t>
      </w:r>
    </w:p>
    <w:p w14:paraId="0980ACCF">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14:paraId="6616236A">
      <w:pPr>
        <w:spacing w:line="540" w:lineRule="exact"/>
        <w:ind w:left="0" w:leftChars="0" w:firstLine="905" w:firstLineChars="283"/>
        <w:rPr>
          <w:rStyle w:val="12"/>
          <w:rFonts w:hint="eastAsia" w:ascii="仿宋" w:hAnsi="仿宋" w:eastAsia="仿宋"/>
          <w:color w:val="auto"/>
          <w:sz w:val="32"/>
          <w:szCs w:val="32"/>
          <w:highlight w:val="yellow"/>
          <w:u w:val="none"/>
        </w:rPr>
      </w:pPr>
      <w:r>
        <w:rPr>
          <w:rFonts w:hint="eastAsia" w:ascii="仿宋" w:hAnsi="仿宋" w:eastAsia="仿宋"/>
          <w:color w:val="auto"/>
          <w:sz w:val="32"/>
          <w:szCs w:val="32"/>
        </w:rPr>
        <w:t>报名邮箱：</w:t>
      </w:r>
      <w:r>
        <w:rPr>
          <w:rFonts w:hint="eastAsia" w:ascii="仿宋_GB2312" w:hAnsi="仿宋" w:eastAsia="仿宋_GB2312"/>
          <w:sz w:val="32"/>
          <w:szCs w:val="32"/>
        </w:rPr>
        <w:t>mzlzhbsqgwh@163.com</w:t>
      </w:r>
    </w:p>
    <w:p w14:paraId="4DD5BA80">
      <w:pPr>
        <w:pStyle w:val="5"/>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14:paraId="2A40EA12">
      <w:pPr>
        <w:spacing w:line="56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val="en-US" w:eastAsia="zh-CN"/>
        </w:rPr>
        <w:t>:</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年满洲里</w:t>
      </w:r>
      <w:r>
        <w:rPr>
          <w:rFonts w:hint="eastAsia" w:ascii="仿宋" w:hAnsi="仿宋" w:eastAsia="仿宋"/>
          <w:color w:val="auto"/>
          <w:sz w:val="32"/>
          <w:szCs w:val="32"/>
          <w:highlight w:val="none"/>
          <w:lang w:val="en-US" w:eastAsia="zh-CN"/>
        </w:rPr>
        <w:t>综合保税区管理委员会</w:t>
      </w:r>
      <w:r>
        <w:rPr>
          <w:rFonts w:hint="eastAsia" w:ascii="仿宋" w:hAnsi="仿宋" w:eastAsia="仿宋"/>
          <w:color w:val="auto"/>
          <w:sz w:val="32"/>
          <w:szCs w:val="32"/>
          <w:highlight w:val="none"/>
        </w:rPr>
        <w:t>所属事业单位人才引进</w:t>
      </w:r>
      <w:r>
        <w:rPr>
          <w:rFonts w:hint="eastAsia" w:ascii="仿宋" w:hAnsi="仿宋" w:eastAsia="仿宋"/>
          <w:color w:val="auto"/>
          <w:sz w:val="32"/>
          <w:szCs w:val="32"/>
        </w:rPr>
        <w:t>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_GB2312" w:hAnsi="仿宋" w:eastAsia="仿宋_GB2312"/>
          <w:sz w:val="32"/>
          <w:szCs w:val="32"/>
        </w:rPr>
        <w:t>mzlzhbsqgwh@163.com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14:paraId="06B38851">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14:paraId="1D035B7A">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14:paraId="6318AF3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（1）《2024年</w:t>
      </w:r>
      <w:r>
        <w:rPr>
          <w:rFonts w:hint="eastAsia" w:ascii="仿宋_GB2312" w:hAnsi="仿宋" w:eastAsia="仿宋_GB2312"/>
          <w:sz w:val="32"/>
          <w:szCs w:val="32"/>
        </w:rPr>
        <w:t>满洲里综合保税区管理委员会</w:t>
      </w:r>
      <w:r>
        <w:rPr>
          <w:rFonts w:hint="eastAsia" w:ascii="仿宋" w:hAnsi="仿宋" w:eastAsia="仿宋" w:cs="仿宋"/>
          <w:color w:val="auto"/>
          <w:sz w:val="32"/>
          <w:szCs w:val="32"/>
          <w:highlight w:val="none"/>
          <w:lang w:val="en-US" w:eastAsia="zh-CN"/>
        </w:rPr>
        <w:t>所属事业单位人才引进报名表》；</w:t>
      </w:r>
    </w:p>
    <w:p w14:paraId="158B07D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14:paraId="6CCE2A7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（3）</w:t>
      </w:r>
      <w:r>
        <w:rPr>
          <w:rFonts w:hint="eastAsia" w:ascii="仿宋" w:hAnsi="仿宋" w:eastAsia="仿宋"/>
          <w:sz w:val="32"/>
          <w:szCs w:val="32"/>
          <w:u w:val="none"/>
        </w:rPr>
        <w:t>《教育部学历证书电子注册备案表》《学位认证报告》</w:t>
      </w:r>
      <w:r>
        <w:rPr>
          <w:rFonts w:hint="eastAsia" w:ascii="仿宋" w:hAnsi="仿宋" w:eastAsia="仿宋"/>
          <w:sz w:val="32"/>
          <w:szCs w:val="32"/>
          <w:u w:val="none"/>
          <w:lang w:eastAsia="zh-CN"/>
        </w:rPr>
        <w:t>；</w:t>
      </w:r>
      <w:r>
        <w:rPr>
          <w:rFonts w:hint="eastAsia" w:ascii="仿宋" w:hAnsi="仿宋" w:eastAsia="仿宋"/>
          <w:sz w:val="32"/>
          <w:szCs w:val="32"/>
          <w:u w:val="none"/>
        </w:rPr>
        <w:t>取得国外学历学位的需提供教育部留学服务中心国外学历学位认证书、成绩单和毕业证书（标注本人姓名和证件相关内容翻译名称）</w:t>
      </w:r>
      <w:r>
        <w:rPr>
          <w:rFonts w:hint="eastAsia" w:ascii="仿宋" w:hAnsi="仿宋" w:eastAsia="仿宋" w:cs="仿宋"/>
          <w:color w:val="auto"/>
          <w:sz w:val="32"/>
          <w:szCs w:val="32"/>
          <w:highlight w:val="none"/>
          <w:u w:val="none"/>
          <w:lang w:val="en-US" w:eastAsia="zh-CN"/>
        </w:rPr>
        <w:t>；</w:t>
      </w:r>
    </w:p>
    <w:p w14:paraId="598E4FD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14:paraId="6BCE8AB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14:paraId="5ACA6AF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14:paraId="5E0022C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w:t>
      </w:r>
    </w:p>
    <w:p w14:paraId="37AE225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14:paraId="5EAF9712">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14:paraId="166E985A">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14:paraId="4EEA3CED">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_GB2312" w:hAnsi="仿宋" w:eastAsia="仿宋_GB2312"/>
          <w:sz w:val="32"/>
          <w:szCs w:val="32"/>
        </w:rPr>
        <w:t>满洲里综合保税区管理委员会</w:t>
      </w:r>
      <w:r>
        <w:rPr>
          <w:rFonts w:hint="eastAsia" w:ascii="仿宋" w:hAnsi="仿宋" w:eastAsia="仿宋"/>
          <w:color w:val="auto"/>
          <w:sz w:val="32"/>
          <w:szCs w:val="32"/>
        </w:rPr>
        <w:t>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14:paraId="5D5443E4">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14:paraId="027FB65B">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w:t>
      </w:r>
      <w:r>
        <w:rPr>
          <w:rFonts w:hint="eastAsia" w:ascii="仿宋_GB2312" w:hAnsi="仿宋" w:eastAsia="仿宋_GB2312"/>
          <w:sz w:val="32"/>
          <w:szCs w:val="32"/>
        </w:rPr>
        <w:t>满洲里综合保税区管理委员会</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人员个人原因导致未能及时联系上的，按自动放弃处理，取消其相应资格。</w:t>
      </w:r>
    </w:p>
    <w:p w14:paraId="3BA6E23E">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年</w:t>
      </w:r>
      <w:r>
        <w:rPr>
          <w:rFonts w:hint="eastAsia" w:ascii="仿宋_GB2312" w:hAnsi="仿宋" w:eastAsia="仿宋_GB2312"/>
          <w:sz w:val="32"/>
          <w:szCs w:val="32"/>
        </w:rPr>
        <w:t>满洲里综合保税区管理委员会</w:t>
      </w:r>
      <w:r>
        <w:rPr>
          <w:rFonts w:hint="eastAsia" w:ascii="仿宋" w:hAnsi="仿宋" w:eastAsia="仿宋" w:cs="仿宋_GB2312"/>
          <w:color w:val="auto"/>
          <w:sz w:val="32"/>
          <w:szCs w:val="32"/>
        </w:rPr>
        <w:t>所属事业单位人才引进报名表》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14:paraId="787A965B">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14:paraId="00A383BF">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_GB2312" w:hAnsi="仿宋" w:eastAsia="仿宋_GB2312"/>
          <w:sz w:val="32"/>
          <w:szCs w:val="32"/>
        </w:rPr>
        <w:t>满洲里综合保税区管理委员会</w:t>
      </w:r>
      <w:r>
        <w:rPr>
          <w:rFonts w:hint="eastAsia" w:ascii="仿宋" w:hAnsi="仿宋" w:eastAsia="仿宋"/>
          <w:color w:val="auto"/>
          <w:sz w:val="32"/>
          <w:szCs w:val="32"/>
          <w:lang w:val="en-US" w:eastAsia="zh-CN"/>
        </w:rPr>
        <w:t>人才引进</w:t>
      </w:r>
      <w:r>
        <w:rPr>
          <w:rFonts w:hint="eastAsia" w:ascii="仿宋" w:hAnsi="仿宋" w:eastAsia="仿宋"/>
          <w:color w:val="auto"/>
          <w:sz w:val="32"/>
          <w:szCs w:val="32"/>
          <w:highlight w:val="none"/>
          <w:lang w:val="en-US" w:eastAsia="zh-CN"/>
        </w:rPr>
        <w:t>工作领导小组负责</w:t>
      </w:r>
      <w:r>
        <w:rPr>
          <w:rFonts w:hint="eastAsia" w:ascii="仿宋" w:hAnsi="仿宋" w:eastAsia="仿宋"/>
          <w:color w:val="auto"/>
          <w:sz w:val="32"/>
          <w:szCs w:val="32"/>
          <w:highlight w:val="none"/>
        </w:rPr>
        <w:t>对符合条件的</w:t>
      </w:r>
      <w:r>
        <w:rPr>
          <w:rFonts w:hint="eastAsia" w:ascii="仿宋" w:hAnsi="仿宋" w:eastAsia="仿宋"/>
          <w:color w:val="auto"/>
          <w:sz w:val="32"/>
          <w:szCs w:val="32"/>
          <w:highlight w:val="none"/>
          <w:lang w:val="en-US" w:eastAsia="zh-CN"/>
        </w:rPr>
        <w:t>报名人员</w:t>
      </w:r>
      <w:r>
        <w:rPr>
          <w:rFonts w:hint="eastAsia" w:ascii="仿宋" w:hAnsi="仿宋" w:eastAsia="仿宋"/>
          <w:color w:val="auto"/>
          <w:sz w:val="32"/>
          <w:szCs w:val="32"/>
          <w:highlight w:val="none"/>
        </w:rPr>
        <w:t>进行人岗相适评估。</w:t>
      </w:r>
      <w:r>
        <w:rPr>
          <w:rFonts w:hint="eastAsia" w:ascii="仿宋" w:hAnsi="仿宋" w:eastAsia="仿宋"/>
          <w:color w:val="auto"/>
          <w:sz w:val="32"/>
          <w:szCs w:val="32"/>
        </w:rPr>
        <w:t>人岗相适评估工作不设开考比例，</w:t>
      </w:r>
      <w:r>
        <w:rPr>
          <w:rFonts w:hint="eastAsia" w:ascii="仿宋" w:hAnsi="仿宋" w:eastAsia="仿宋"/>
          <w:color w:val="auto"/>
          <w:sz w:val="32"/>
          <w:szCs w:val="32"/>
          <w:highlight w:val="none"/>
        </w:rPr>
        <w:t>设最低合格分数线。</w:t>
      </w:r>
    </w:p>
    <w:p w14:paraId="483A0500">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1.评估方式</w:t>
      </w:r>
    </w:p>
    <w:p w14:paraId="164F67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w:t>
      </w:r>
      <w:r>
        <w:rPr>
          <w:rFonts w:hint="eastAsia" w:ascii="仿宋" w:hAnsi="仿宋" w:eastAsia="仿宋"/>
          <w:sz w:val="32"/>
          <w:szCs w:val="32"/>
          <w:highlight w:val="none"/>
        </w:rPr>
        <w:t>报名人数超过</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人（含</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人）时增加笔试环节，按笔试成绩超过最低分数线的由高到低排序，以引进岗位人数1:10差额比例确定面试人员名单</w:t>
      </w:r>
      <w:r>
        <w:rPr>
          <w:rFonts w:hint="eastAsia" w:ascii="仿宋" w:hAnsi="仿宋" w:eastAsia="仿宋"/>
          <w:sz w:val="32"/>
          <w:szCs w:val="32"/>
          <w:highlight w:val="none"/>
          <w:lang w:eastAsia="zh-CN"/>
        </w:rPr>
        <w:t>。</w:t>
      </w:r>
      <w:r>
        <w:rPr>
          <w:rFonts w:hint="eastAsia" w:ascii="仿宋" w:hAnsi="仿宋" w:eastAsia="仿宋"/>
          <w:sz w:val="32"/>
          <w:szCs w:val="32"/>
          <w:highlight w:val="none"/>
        </w:rPr>
        <w:t>笔试和结构化面</w:t>
      </w:r>
      <w:r>
        <w:rPr>
          <w:rFonts w:hint="eastAsia" w:ascii="仿宋" w:hAnsi="仿宋" w:eastAsia="仿宋"/>
          <w:sz w:val="32"/>
          <w:szCs w:val="32"/>
          <w:highlight w:val="none"/>
          <w:lang w:val="en-US" w:eastAsia="zh-CN"/>
        </w:rPr>
        <w:t>试</w:t>
      </w:r>
      <w:r>
        <w:rPr>
          <w:rFonts w:hint="eastAsia" w:ascii="仿宋" w:hAnsi="仿宋" w:eastAsia="仿宋"/>
          <w:sz w:val="32"/>
          <w:szCs w:val="32"/>
          <w:highlight w:val="none"/>
        </w:rPr>
        <w:t>成绩各占</w:t>
      </w:r>
      <w:r>
        <w:rPr>
          <w:rFonts w:hint="eastAsia" w:ascii="仿宋" w:hAnsi="仿宋" w:eastAsia="仿宋"/>
          <w:sz w:val="32"/>
          <w:szCs w:val="32"/>
          <w:highlight w:val="none"/>
          <w:lang w:val="en-US" w:eastAsia="zh-CN"/>
        </w:rPr>
        <w:t>50%，</w:t>
      </w:r>
      <w:r>
        <w:rPr>
          <w:rFonts w:hint="eastAsia" w:ascii="仿宋" w:hAnsi="仿宋" w:eastAsia="仿宋"/>
          <w:sz w:val="32"/>
          <w:szCs w:val="32"/>
          <w:highlight w:val="none"/>
        </w:rPr>
        <w:t>总成绩=笔试成绩×</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0%+结构化面试成绩×</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0%，总成绩保留小数点后两位小数（四舍五入）。</w:t>
      </w:r>
    </w:p>
    <w:p w14:paraId="075DE606">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14:paraId="2950B526">
      <w:pPr>
        <w:pStyle w:val="4"/>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14:paraId="4C1A3882">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14:paraId="73B92211">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rPr>
        <w:t>成绩在</w:t>
      </w:r>
      <w:r>
        <w:rPr>
          <w:rFonts w:hint="eastAsia" w:ascii="仿宋" w:hAnsi="仿宋" w:eastAsia="仿宋"/>
          <w:sz w:val="32"/>
          <w:szCs w:val="32"/>
          <w:lang w:val="en-US" w:eastAsia="zh-CN"/>
        </w:rPr>
        <w:t>综保</w:t>
      </w:r>
      <w:r>
        <w:rPr>
          <w:rFonts w:hint="eastAsia" w:ascii="仿宋" w:hAnsi="仿宋" w:eastAsia="仿宋"/>
          <w:sz w:val="32"/>
          <w:szCs w:val="32"/>
        </w:rPr>
        <w:t>区管委会一楼公示栏进行公示</w:t>
      </w:r>
      <w:r>
        <w:rPr>
          <w:rFonts w:hint="eastAsia" w:ascii="仿宋" w:hAnsi="仿宋" w:eastAsia="仿宋"/>
          <w:sz w:val="32"/>
          <w:szCs w:val="32"/>
          <w:highlight w:val="none"/>
        </w:rPr>
        <w:t>。</w:t>
      </w:r>
    </w:p>
    <w:p w14:paraId="60177873">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成绩高低前10名确定进入面试人选，笔试成绩低于60分（不含60分）的，不得进入面试环节；总成绩低于60分（不含60分）的，不得进入下一环节；在考生总成绩相同的情况下，以结构化面试成绩较高者优先进入下一环节。</w:t>
      </w:r>
    </w:p>
    <w:p w14:paraId="076EE33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14:paraId="31069D5D">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14:paraId="366BB4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sz w:val="32"/>
          <w:szCs w:val="32"/>
          <w:highlight w:val="none"/>
        </w:rPr>
        <w:t>满洲里</w:t>
      </w:r>
      <w:r>
        <w:rPr>
          <w:rFonts w:hint="eastAsia" w:ascii="仿宋_GB2312" w:hAnsi="仿宋" w:eastAsia="仿宋_GB2312"/>
          <w:sz w:val="32"/>
          <w:szCs w:val="32"/>
        </w:rPr>
        <w:t>综合保税区管理委员会</w:t>
      </w:r>
      <w:r>
        <w:rPr>
          <w:rFonts w:hint="eastAsia" w:ascii="仿宋" w:hAnsi="仿宋" w:eastAsia="仿宋"/>
          <w:color w:val="auto"/>
          <w:sz w:val="32"/>
          <w:szCs w:val="32"/>
          <w:lang w:val="en-US" w:eastAsia="zh-CN"/>
        </w:rPr>
        <w:t>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w:t>
      </w:r>
      <w:r>
        <w:rPr>
          <w:rFonts w:hint="eastAsia" w:ascii="仿宋" w:hAnsi="仿宋" w:eastAsia="仿宋"/>
          <w:color w:val="auto"/>
          <w:sz w:val="32"/>
          <w:szCs w:val="32"/>
          <w:highlight w:val="none"/>
          <w:u w:val="none"/>
          <w:lang w:val="en-US" w:eastAsia="zh-CN"/>
        </w:rPr>
        <w:t>事档案。</w:t>
      </w:r>
      <w:r>
        <w:rPr>
          <w:rFonts w:hint="eastAsia" w:ascii="仿宋" w:hAnsi="仿宋" w:eastAsia="仿宋"/>
          <w:color w:val="auto"/>
          <w:sz w:val="32"/>
          <w:szCs w:val="32"/>
          <w:highlight w:val="none"/>
          <w:u w:val="none"/>
        </w:rPr>
        <w:t>人事档案审核标准按照《干部人事档案工作条例》执行。</w:t>
      </w:r>
      <w:r>
        <w:rPr>
          <w:rFonts w:hint="eastAsia" w:ascii="仿宋" w:hAnsi="仿宋" w:eastAsia="仿宋"/>
          <w:color w:val="auto"/>
          <w:sz w:val="32"/>
          <w:szCs w:val="32"/>
          <w:highlight w:val="none"/>
          <w:u w:val="none"/>
          <w:lang w:val="en-US" w:eastAsia="zh-CN"/>
        </w:rPr>
        <w:t>经</w:t>
      </w:r>
      <w:r>
        <w:rPr>
          <w:rFonts w:hint="eastAsia" w:ascii="仿宋" w:hAnsi="仿宋" w:eastAsia="仿宋"/>
          <w:color w:val="auto"/>
          <w:sz w:val="32"/>
          <w:szCs w:val="32"/>
          <w:highlight w:val="none"/>
          <w:u w:val="none"/>
        </w:rPr>
        <w:t>资格复审及人事档案审核不合格</w:t>
      </w:r>
      <w:r>
        <w:rPr>
          <w:rFonts w:hint="eastAsia" w:ascii="仿宋" w:hAnsi="仿宋" w:eastAsia="仿宋"/>
          <w:color w:val="auto"/>
          <w:sz w:val="32"/>
          <w:szCs w:val="32"/>
          <w:highlight w:val="none"/>
          <w:u w:val="none"/>
          <w:lang w:eastAsia="zh-CN"/>
        </w:rPr>
        <w:t>的</w:t>
      </w:r>
      <w:r>
        <w:rPr>
          <w:rFonts w:hint="eastAsia" w:ascii="仿宋" w:hAnsi="仿宋" w:eastAsia="仿宋"/>
          <w:color w:val="auto"/>
          <w:sz w:val="32"/>
          <w:szCs w:val="32"/>
          <w:highlight w:val="none"/>
          <w:u w:val="none"/>
        </w:rPr>
        <w:t>，取</w:t>
      </w:r>
      <w:r>
        <w:rPr>
          <w:rFonts w:hint="eastAsia" w:ascii="仿宋" w:hAnsi="仿宋" w:eastAsia="仿宋"/>
          <w:color w:val="auto"/>
          <w:sz w:val="32"/>
          <w:szCs w:val="32"/>
          <w:highlight w:val="none"/>
        </w:rPr>
        <w:t>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14:paraId="600BEF05">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14:paraId="5046E712">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14:paraId="00C1BB3C">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w:t>
      </w:r>
      <w:r>
        <w:rPr>
          <w:rFonts w:hint="eastAsia" w:ascii="仿宋" w:hAnsi="仿宋" w:eastAsia="仿宋"/>
          <w:color w:val="auto"/>
          <w:sz w:val="32"/>
          <w:szCs w:val="32"/>
          <w:u w:val="none"/>
        </w:rPr>
        <w:t>内</w:t>
      </w:r>
      <w:r>
        <w:rPr>
          <w:rFonts w:hint="eastAsia" w:ascii="仿宋" w:hAnsi="仿宋" w:eastAsia="仿宋"/>
          <w:color w:val="auto"/>
          <w:sz w:val="32"/>
          <w:szCs w:val="32"/>
          <w:u w:val="none"/>
          <w:lang w:val="en-US" w:eastAsia="zh-CN"/>
        </w:rPr>
        <w:t>向</w:t>
      </w:r>
      <w:r>
        <w:rPr>
          <w:rFonts w:hint="eastAsia" w:ascii="仿宋" w:hAnsi="仿宋" w:eastAsia="仿宋"/>
          <w:color w:val="auto"/>
          <w:sz w:val="32"/>
          <w:szCs w:val="32"/>
          <w:highlight w:val="none"/>
          <w:u w:val="none"/>
          <w:lang w:val="en-US" w:eastAsia="zh-CN"/>
        </w:rPr>
        <w:t>满洲里市人社局</w:t>
      </w:r>
      <w:r>
        <w:rPr>
          <w:rFonts w:hint="eastAsia" w:ascii="仿宋" w:hAnsi="仿宋" w:eastAsia="仿宋"/>
          <w:color w:val="auto"/>
          <w:sz w:val="32"/>
          <w:szCs w:val="32"/>
          <w:u w:val="none"/>
        </w:rPr>
        <w:t>提</w:t>
      </w:r>
      <w:r>
        <w:rPr>
          <w:rFonts w:hint="eastAsia" w:ascii="仿宋" w:hAnsi="仿宋" w:eastAsia="仿宋"/>
          <w:color w:val="auto"/>
          <w:sz w:val="32"/>
          <w:szCs w:val="32"/>
          <w:u w:val="none"/>
          <w:lang w:val="en-US" w:eastAsia="zh-CN"/>
        </w:rPr>
        <w:t>交复检申请</w:t>
      </w:r>
      <w:r>
        <w:rPr>
          <w:rFonts w:hint="eastAsia" w:ascii="仿宋" w:hAnsi="仿宋" w:eastAsia="仿宋"/>
          <w:color w:val="auto"/>
          <w:sz w:val="32"/>
          <w:szCs w:val="32"/>
          <w:u w:val="none"/>
        </w:rPr>
        <w:t>，复检只能进行一次，费用自理，体</w:t>
      </w:r>
      <w:r>
        <w:rPr>
          <w:rFonts w:hint="eastAsia" w:ascii="仿宋" w:hAnsi="仿宋" w:eastAsia="仿宋"/>
          <w:color w:val="auto"/>
          <w:sz w:val="32"/>
          <w:szCs w:val="32"/>
        </w:rPr>
        <w:t>检结果以复检结论为准。对无正当理由拒不参加体检的、在体检过程中弄虚作假或者隐瞒真实情况致使体检结果失真的，取消引进资格。体检合格人员进入考察环节。</w:t>
      </w:r>
    </w:p>
    <w:p w14:paraId="1E25D3C7">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14:paraId="3610B135">
      <w:pPr>
        <w:pStyle w:val="4"/>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u w:val="none"/>
          <w:lang w:val="en-US" w:eastAsia="zh-CN"/>
        </w:rPr>
        <w:t>考察工作由</w:t>
      </w:r>
      <w:r>
        <w:rPr>
          <w:rFonts w:hint="eastAsia" w:ascii="仿宋" w:hAnsi="仿宋" w:eastAsia="仿宋"/>
          <w:sz w:val="32"/>
          <w:szCs w:val="32"/>
          <w:highlight w:val="none"/>
        </w:rPr>
        <w:t>满洲里</w:t>
      </w:r>
      <w:r>
        <w:rPr>
          <w:rFonts w:hint="eastAsia" w:ascii="仿宋_GB2312" w:hAnsi="仿宋" w:eastAsia="仿宋_GB2312"/>
          <w:sz w:val="32"/>
          <w:szCs w:val="32"/>
        </w:rPr>
        <w:t>综合保税区管理委员会</w:t>
      </w:r>
      <w:r>
        <w:rPr>
          <w:rFonts w:hint="eastAsia" w:ascii="仿宋" w:hAnsi="仿宋" w:eastAsia="仿宋"/>
          <w:color w:val="auto"/>
          <w:sz w:val="32"/>
          <w:szCs w:val="32"/>
          <w:u w:val="none"/>
          <w:lang w:val="en-US" w:eastAsia="zh-CN"/>
        </w:rPr>
        <w:t>人才引进工作领导小组负责组织实施。</w:t>
      </w:r>
      <w:r>
        <w:rPr>
          <w:rFonts w:hint="eastAsia" w:ascii="仿宋" w:hAnsi="仿宋" w:eastAsia="仿宋" w:cs="仿宋_GB2312"/>
          <w:color w:val="auto"/>
          <w:sz w:val="32"/>
          <w:szCs w:val="32"/>
          <w:u w:val="none"/>
        </w:rPr>
        <w:t>考察工作突出政治标准，重点考察引进人员是否符合拥护“两个确立”、增强“四个意识”、坚定“四个自信”、做到“两个维护”，</w:t>
      </w:r>
      <w:r>
        <w:rPr>
          <w:rFonts w:hint="eastAsia" w:ascii="仿宋" w:hAnsi="仿宋" w:eastAsia="仿宋" w:cs="仿宋_GB2312"/>
          <w:color w:val="auto"/>
          <w:sz w:val="32"/>
          <w:szCs w:val="32"/>
          <w:highlight w:val="none"/>
          <w:u w:val="none"/>
          <w:lang w:val="en-US" w:eastAsia="zh-CN"/>
        </w:rPr>
        <w:t>是否铸牢中华民族共同体意识，</w:t>
      </w:r>
      <w:r>
        <w:rPr>
          <w:rFonts w:hint="eastAsia" w:ascii="仿宋" w:hAnsi="仿宋" w:eastAsia="仿宋" w:cs="仿宋_GB2312"/>
          <w:color w:val="auto"/>
          <w:sz w:val="32"/>
          <w:szCs w:val="32"/>
          <w:u w:val="none"/>
        </w:rPr>
        <w:t>是否牢记“三个离不开”、切实增强“五个认同”等政治要求，坚决把政治上不合格的挡在门外。考察</w:t>
      </w:r>
      <w:r>
        <w:rPr>
          <w:rFonts w:hint="eastAsia" w:ascii="仿宋" w:hAnsi="仿宋" w:eastAsia="仿宋" w:cs="仿宋_GB2312"/>
          <w:color w:val="auto"/>
          <w:sz w:val="32"/>
          <w:szCs w:val="32"/>
          <w:u w:val="none"/>
          <w:lang w:val="en-US" w:eastAsia="zh-CN"/>
        </w:rPr>
        <w:t>内容主要包括</w:t>
      </w:r>
      <w:r>
        <w:rPr>
          <w:rFonts w:hint="eastAsia" w:ascii="仿宋" w:hAnsi="仿宋" w:eastAsia="仿宋" w:cs="仿宋_GB2312"/>
          <w:color w:val="auto"/>
          <w:sz w:val="32"/>
          <w:szCs w:val="32"/>
          <w:u w:val="none"/>
        </w:rPr>
        <w:t>引进人员的思想政治表现、道德品行、能力素质、学习和工作表现、遵纪守法</w:t>
      </w:r>
      <w:r>
        <w:rPr>
          <w:rFonts w:hint="eastAsia" w:ascii="仿宋" w:hAnsi="仿宋" w:eastAsia="仿宋" w:cs="仿宋_GB2312"/>
          <w:color w:val="auto"/>
          <w:sz w:val="32"/>
          <w:szCs w:val="32"/>
          <w:u w:val="none"/>
          <w:lang w:eastAsia="zh-CN"/>
        </w:rPr>
        <w:t>（</w:t>
      </w:r>
      <w:r>
        <w:rPr>
          <w:rFonts w:hint="eastAsia" w:ascii="仿宋" w:hAnsi="仿宋" w:eastAsia="仿宋" w:cs="仿宋_GB2312"/>
          <w:color w:val="auto"/>
          <w:sz w:val="32"/>
          <w:szCs w:val="32"/>
          <w:u w:val="none"/>
          <w:lang w:val="en-US" w:eastAsia="zh-CN"/>
        </w:rPr>
        <w:t>包括无违法违纪、无犯罪记录证明</w:t>
      </w:r>
      <w:r>
        <w:rPr>
          <w:rFonts w:hint="eastAsia" w:ascii="仿宋" w:hAnsi="仿宋" w:eastAsia="仿宋" w:cs="仿宋_GB2312"/>
          <w:color w:val="auto"/>
          <w:sz w:val="32"/>
          <w:szCs w:val="32"/>
          <w:u w:val="none"/>
          <w:lang w:eastAsia="zh-CN"/>
        </w:rPr>
        <w:t>）</w:t>
      </w:r>
      <w:r>
        <w:rPr>
          <w:rFonts w:hint="eastAsia" w:ascii="仿宋" w:hAnsi="仿宋" w:eastAsia="仿宋" w:cs="仿宋_GB2312"/>
          <w:color w:val="auto"/>
          <w:sz w:val="32"/>
          <w:szCs w:val="32"/>
          <w:u w:val="none"/>
        </w:rPr>
        <w:t>、廉洁自律以及是否需要回避等方面情况。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14:paraId="34590199">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14:paraId="66448B0C">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14:paraId="6AC4C20C">
      <w:pPr>
        <w:spacing w:line="560" w:lineRule="exact"/>
        <w:ind w:firstLine="640" w:firstLineChars="200"/>
        <w:rPr>
          <w:rFonts w:ascii="仿宋" w:hAnsi="仿宋" w:eastAsia="仿宋" w:cs="仿宋_GB2312"/>
          <w:color w:val="auto"/>
          <w:sz w:val="32"/>
          <w:szCs w:val="32"/>
          <w:u w:val="none"/>
        </w:rPr>
      </w:pPr>
      <w:r>
        <w:rPr>
          <w:rFonts w:hint="eastAsia" w:ascii="仿宋" w:hAnsi="仿宋" w:eastAsia="仿宋"/>
          <w:color w:val="auto"/>
          <w:sz w:val="32"/>
          <w:szCs w:val="32"/>
          <w:highlight w:val="none"/>
          <w:u w:val="none"/>
          <w:lang w:val="en-US" w:eastAsia="zh-CN"/>
        </w:rPr>
        <w:t>对拟引进人员在满洲里市人民政府网站进行公示</w:t>
      </w:r>
      <w:r>
        <w:rPr>
          <w:rFonts w:hint="eastAsia" w:ascii="仿宋" w:hAnsi="仿宋" w:eastAsia="仿宋" w:cs="仿宋_GB2312"/>
          <w:color w:val="auto"/>
          <w:sz w:val="32"/>
          <w:szCs w:val="32"/>
          <w:highlight w:val="none"/>
          <w:u w:val="none"/>
        </w:rPr>
        <w:t>，</w:t>
      </w:r>
      <w:r>
        <w:rPr>
          <w:rFonts w:hint="eastAsia" w:ascii="仿宋" w:hAnsi="仿宋" w:eastAsia="仿宋" w:cs="仿宋_GB2312"/>
          <w:color w:val="auto"/>
          <w:sz w:val="32"/>
          <w:szCs w:val="32"/>
          <w:u w:val="none"/>
        </w:rPr>
        <w:t>公示期间接受社会监督举报，公示期不少于5个工作日。</w:t>
      </w:r>
      <w:r>
        <w:rPr>
          <w:rFonts w:hint="eastAsia" w:ascii="仿宋_GB2312" w:hAnsi="Times New Roman" w:eastAsia="仿宋_GB2312" w:cs="Times New Roman"/>
          <w:sz w:val="32"/>
          <w:szCs w:val="32"/>
          <w:highlight w:val="none"/>
          <w:u w:val="none"/>
          <w:lang w:val="en-US" w:eastAsia="zh-CN"/>
        </w:rPr>
        <w:t>公示期内，</w:t>
      </w:r>
      <w:r>
        <w:rPr>
          <w:rFonts w:hint="default" w:ascii="仿宋_GB2312" w:hAnsi="Times New Roman" w:eastAsia="仿宋_GB2312" w:cs="Times New Roman"/>
          <w:sz w:val="32"/>
          <w:szCs w:val="32"/>
          <w:u w:val="none"/>
          <w:lang w:val="en-US" w:eastAsia="zh-CN"/>
        </w:rPr>
        <w:t>对反映有问题</w:t>
      </w:r>
      <w:r>
        <w:rPr>
          <w:rFonts w:hint="eastAsia" w:ascii="仿宋_GB2312" w:hAnsi="Times New Roman" w:eastAsia="仿宋_GB2312" w:cs="Times New Roman"/>
          <w:sz w:val="32"/>
          <w:szCs w:val="32"/>
          <w:u w:val="none"/>
          <w:lang w:val="en-US" w:eastAsia="zh-CN"/>
        </w:rPr>
        <w:t>的，</w:t>
      </w:r>
      <w:r>
        <w:rPr>
          <w:rFonts w:hint="eastAsia" w:ascii="仿宋_GB2312" w:eastAsia="仿宋_GB2312" w:cs="Times New Roman"/>
          <w:sz w:val="32"/>
          <w:szCs w:val="32"/>
          <w:u w:val="none"/>
          <w:lang w:val="en-US" w:eastAsia="zh-CN"/>
        </w:rPr>
        <w:t>经</w:t>
      </w:r>
      <w:r>
        <w:rPr>
          <w:rFonts w:hint="eastAsia" w:ascii="仿宋" w:hAnsi="仿宋" w:eastAsia="仿宋"/>
          <w:sz w:val="32"/>
          <w:szCs w:val="32"/>
          <w:highlight w:val="none"/>
        </w:rPr>
        <w:t>满洲里</w:t>
      </w:r>
      <w:r>
        <w:rPr>
          <w:rFonts w:hint="eastAsia" w:ascii="仿宋_GB2312" w:hAnsi="仿宋" w:eastAsia="仿宋_GB2312"/>
          <w:sz w:val="32"/>
          <w:szCs w:val="32"/>
        </w:rPr>
        <w:t>综合保税区管理委员会</w:t>
      </w:r>
      <w:r>
        <w:rPr>
          <w:rFonts w:hint="eastAsia" w:ascii="仿宋" w:hAnsi="仿宋" w:eastAsia="仿宋" w:cs="仿宋_GB2312"/>
          <w:b w:val="0"/>
          <w:bCs w:val="0"/>
          <w:sz w:val="32"/>
          <w:szCs w:val="32"/>
          <w:highlight w:val="none"/>
          <w:u w:val="none"/>
        </w:rPr>
        <w:t>人才引进工作领导小组</w:t>
      </w:r>
      <w:r>
        <w:rPr>
          <w:rFonts w:hint="eastAsia" w:ascii="仿宋" w:hAnsi="仿宋" w:eastAsia="仿宋" w:cs="仿宋_GB2312"/>
          <w:b w:val="0"/>
          <w:bCs w:val="0"/>
          <w:sz w:val="32"/>
          <w:szCs w:val="32"/>
          <w:highlight w:val="none"/>
          <w:u w:val="none"/>
          <w:lang w:val="en-US" w:eastAsia="zh-CN"/>
        </w:rPr>
        <w:t>调查核实</w:t>
      </w:r>
      <w:r>
        <w:rPr>
          <w:rFonts w:hint="eastAsia" w:ascii="仿宋" w:hAnsi="仿宋" w:eastAsia="仿宋" w:cs="仿宋_GB2312"/>
          <w:b w:val="0"/>
          <w:bCs w:val="0"/>
          <w:sz w:val="32"/>
          <w:szCs w:val="32"/>
          <w:highlight w:val="none"/>
          <w:u w:val="none"/>
        </w:rPr>
        <w:t>并做出结论后，提交</w:t>
      </w:r>
      <w:r>
        <w:rPr>
          <w:rFonts w:hint="eastAsia" w:ascii="仿宋" w:hAnsi="仿宋" w:eastAsia="仿宋" w:cs="仿宋_GB2312"/>
          <w:b w:val="0"/>
          <w:bCs w:val="0"/>
          <w:sz w:val="32"/>
          <w:szCs w:val="32"/>
          <w:highlight w:val="none"/>
          <w:u w:val="none"/>
          <w:lang w:val="en-US" w:eastAsia="zh-CN"/>
        </w:rPr>
        <w:t>相关会议</w:t>
      </w:r>
      <w:r>
        <w:rPr>
          <w:rFonts w:hint="eastAsia" w:ascii="仿宋" w:hAnsi="仿宋" w:eastAsia="仿宋" w:cs="仿宋_GB2312"/>
          <w:b w:val="0"/>
          <w:bCs w:val="0"/>
          <w:sz w:val="32"/>
          <w:szCs w:val="32"/>
          <w:highlight w:val="none"/>
          <w:u w:val="none"/>
        </w:rPr>
        <w:t>研究</w:t>
      </w:r>
      <w:r>
        <w:rPr>
          <w:rFonts w:hint="eastAsia" w:ascii="仿宋" w:hAnsi="仿宋" w:eastAsia="仿宋" w:cs="仿宋_GB2312"/>
          <w:b w:val="0"/>
          <w:bCs w:val="0"/>
          <w:sz w:val="32"/>
          <w:szCs w:val="32"/>
          <w:highlight w:val="none"/>
          <w:u w:val="none"/>
          <w:lang w:val="en-US" w:eastAsia="zh-CN"/>
        </w:rPr>
        <w:t>决定；</w:t>
      </w:r>
      <w:r>
        <w:rPr>
          <w:rFonts w:hint="default" w:ascii="仿宋_GB2312" w:hAnsi="Times New Roman" w:eastAsia="仿宋_GB2312" w:cs="Times New Roman"/>
          <w:sz w:val="32"/>
          <w:szCs w:val="32"/>
          <w:highlight w:val="none"/>
          <w:u w:val="none"/>
          <w:lang w:val="en-US" w:eastAsia="zh-CN"/>
        </w:rPr>
        <w:t>对反映有严重问题并查有实据的</w:t>
      </w:r>
      <w:r>
        <w:rPr>
          <w:rFonts w:hint="eastAsia" w:ascii="仿宋_GB2312" w:hAnsi="Times New Roman" w:eastAsia="仿宋_GB2312" w:cs="Times New Roman"/>
          <w:sz w:val="32"/>
          <w:szCs w:val="32"/>
          <w:highlight w:val="none"/>
          <w:u w:val="none"/>
          <w:lang w:val="en-US" w:eastAsia="zh-CN"/>
        </w:rPr>
        <w:t>，</w:t>
      </w:r>
      <w:r>
        <w:rPr>
          <w:rFonts w:hint="default" w:ascii="仿宋_GB2312" w:hAnsi="Times New Roman" w:eastAsia="仿宋_GB2312" w:cs="Times New Roman"/>
          <w:sz w:val="32"/>
          <w:szCs w:val="32"/>
          <w:highlight w:val="none"/>
          <w:u w:val="none"/>
          <w:lang w:val="en-US" w:eastAsia="zh-CN"/>
        </w:rPr>
        <w:t>取消引进资格</w:t>
      </w:r>
      <w:r>
        <w:rPr>
          <w:rFonts w:hint="eastAsia" w:ascii="仿宋_GB2312" w:hAnsi="Times New Roman" w:eastAsia="仿宋_GB2312" w:cs="Times New Roman"/>
          <w:sz w:val="32"/>
          <w:szCs w:val="32"/>
          <w:u w:val="none"/>
          <w:lang w:val="en-US" w:eastAsia="zh-CN"/>
        </w:rPr>
        <w:t>。</w:t>
      </w:r>
    </w:p>
    <w:p w14:paraId="70C67412">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（二）聘用</w:t>
      </w:r>
    </w:p>
    <w:p w14:paraId="2B39007C">
      <w:pPr>
        <w:spacing w:line="560" w:lineRule="exact"/>
        <w:ind w:firstLine="640" w:firstLineChars="200"/>
        <w:rPr>
          <w:rFonts w:hint="eastAsia" w:ascii="仿宋_GB2312" w:hAnsi="Times New Roman" w:eastAsia="仿宋_GB2312" w:cs="Times New Roman"/>
          <w:sz w:val="32"/>
          <w:szCs w:val="32"/>
          <w:u w:val="none"/>
          <w:lang w:val="en-US" w:eastAsia="zh-CN"/>
        </w:rPr>
      </w:pPr>
      <w:r>
        <w:rPr>
          <w:rFonts w:hint="default" w:ascii="仿宋_GB2312" w:hAnsi="Times New Roman" w:eastAsia="仿宋_GB2312" w:cs="Times New Roman"/>
          <w:sz w:val="32"/>
          <w:szCs w:val="32"/>
          <w:u w:val="none"/>
          <w:lang w:val="en-US" w:eastAsia="zh-CN"/>
        </w:rPr>
        <w:t>公示期</w:t>
      </w:r>
      <w:r>
        <w:rPr>
          <w:rFonts w:hint="eastAsia" w:ascii="仿宋_GB2312" w:hAnsi="Times New Roman" w:eastAsia="仿宋_GB2312" w:cs="Times New Roman"/>
          <w:sz w:val="32"/>
          <w:szCs w:val="32"/>
          <w:u w:val="none"/>
          <w:lang w:val="en-US" w:eastAsia="zh-CN"/>
        </w:rPr>
        <w:t>满没有问题的，</w:t>
      </w:r>
      <w:r>
        <w:rPr>
          <w:rFonts w:hint="eastAsia" w:ascii="仿宋_GB2312" w:eastAsia="仿宋_GB2312" w:cs="Times New Roman"/>
          <w:sz w:val="32"/>
          <w:szCs w:val="32"/>
          <w:u w:val="none"/>
          <w:lang w:val="en-US" w:eastAsia="zh-CN"/>
        </w:rPr>
        <w:t>提交相关会议</w:t>
      </w:r>
      <w:r>
        <w:rPr>
          <w:rFonts w:hint="eastAsia" w:ascii="仿宋_GB2312" w:hAnsi="Times New Roman" w:eastAsia="仿宋_GB2312" w:cs="Times New Roman"/>
          <w:sz w:val="32"/>
          <w:szCs w:val="32"/>
          <w:u w:val="none"/>
          <w:lang w:val="en-US" w:eastAsia="zh-CN"/>
        </w:rPr>
        <w:t>审议通过后，</w:t>
      </w:r>
      <w:r>
        <w:rPr>
          <w:rFonts w:hint="eastAsia" w:ascii="仿宋_GB2312" w:hAnsi="Times New Roman" w:eastAsia="仿宋_GB2312" w:cs="Times New Roman"/>
          <w:sz w:val="32"/>
          <w:szCs w:val="32"/>
          <w:highlight w:val="none"/>
          <w:u w:val="none"/>
          <w:lang w:val="en-US" w:eastAsia="zh-CN"/>
        </w:rPr>
        <w:t>下发引进通知，用人单位为引进人员办理引进手续。</w:t>
      </w:r>
    </w:p>
    <w:p w14:paraId="15E4033F">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14:paraId="5EF73598">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w:t>
      </w:r>
      <w:r>
        <w:rPr>
          <w:rFonts w:hint="eastAsia" w:ascii="仿宋" w:hAnsi="仿宋" w:eastAsia="仿宋" w:cs="仿宋_GB2312"/>
          <w:sz w:val="32"/>
          <w:szCs w:val="32"/>
          <w:highlight w:val="none"/>
        </w:rPr>
        <w:t>试用期结束后，由</w:t>
      </w:r>
      <w:r>
        <w:rPr>
          <w:rFonts w:hint="eastAsia" w:ascii="仿宋" w:hAnsi="仿宋" w:eastAsia="仿宋"/>
          <w:sz w:val="32"/>
          <w:szCs w:val="32"/>
          <w:highlight w:val="none"/>
        </w:rPr>
        <w:t>满洲里</w:t>
      </w:r>
      <w:r>
        <w:rPr>
          <w:rFonts w:hint="eastAsia" w:ascii="仿宋_GB2312" w:hAnsi="仿宋" w:eastAsia="仿宋_GB2312"/>
          <w:sz w:val="32"/>
          <w:szCs w:val="32"/>
        </w:rPr>
        <w:t>综合保税区管理委员会</w:t>
      </w:r>
      <w:r>
        <w:rPr>
          <w:rFonts w:hint="eastAsia" w:ascii="仿宋" w:hAnsi="仿宋" w:eastAsia="仿宋" w:cs="仿宋_GB2312"/>
          <w:sz w:val="32"/>
          <w:szCs w:val="32"/>
          <w:highlight w:val="none"/>
          <w:lang w:eastAsia="zh-CN"/>
        </w:rPr>
        <w:t>人才引进工作领导小组</w:t>
      </w:r>
      <w:r>
        <w:rPr>
          <w:rFonts w:hint="eastAsia" w:ascii="仿宋" w:hAnsi="仿宋" w:eastAsia="仿宋" w:cs="仿宋_GB2312"/>
          <w:sz w:val="32"/>
          <w:szCs w:val="32"/>
          <w:highlight w:val="none"/>
        </w:rPr>
        <w:t>对引进人员进行考核。考核合格的，予以正式聘用；考核不合格的，办理解聘手续。</w:t>
      </w:r>
    </w:p>
    <w:p w14:paraId="43A94A06">
      <w:pPr>
        <w:pStyle w:val="5"/>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outlineLvl w:val="9"/>
        <w:rPr>
          <w:rFonts w:hint="default"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s="仿宋_GB2312"/>
          <w:color w:val="auto"/>
          <w:sz w:val="32"/>
          <w:szCs w:val="32"/>
          <w:u w:val="none"/>
        </w:rPr>
        <w:t>引进人员在满洲里市最低工作服务年限为五年。对无正当理由放弃的或不履行最低工作服务年限的，将记入本人诚信档案</w:t>
      </w:r>
      <w:r>
        <w:rPr>
          <w:rFonts w:hint="eastAsia" w:ascii="仿宋" w:hAnsi="仿宋" w:eastAsia="仿宋" w:cs="仿宋_GB2312"/>
          <w:color w:val="auto"/>
          <w:sz w:val="32"/>
          <w:szCs w:val="32"/>
          <w:u w:val="none"/>
          <w:lang w:eastAsia="zh-CN"/>
        </w:rPr>
        <w:t>，</w:t>
      </w:r>
      <w:r>
        <w:rPr>
          <w:rFonts w:hint="eastAsia" w:ascii="仿宋_GB2312" w:hAnsi="仿宋_GB2312" w:eastAsia="仿宋_GB2312" w:cs="仿宋_GB2312"/>
          <w:i w:val="0"/>
          <w:iCs w:val="0"/>
          <w:caps w:val="0"/>
          <w:color w:val="auto"/>
          <w:spacing w:val="0"/>
          <w:kern w:val="0"/>
          <w:sz w:val="32"/>
          <w:szCs w:val="32"/>
          <w:u w:val="none"/>
          <w:lang w:val="en-US" w:eastAsia="zh-CN" w:bidi="ar"/>
        </w:rPr>
        <w:t>并追缴</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回</w:t>
      </w:r>
      <w:r>
        <w:rPr>
          <w:rFonts w:hint="eastAsia" w:ascii="仿宋_GB2312" w:hAnsi="仿宋_GB2312" w:eastAsia="仿宋_GB2312" w:cs="仿宋_GB2312"/>
          <w:i w:val="0"/>
          <w:iCs w:val="0"/>
          <w:caps w:val="0"/>
          <w:color w:val="auto"/>
          <w:spacing w:val="0"/>
          <w:kern w:val="0"/>
          <w:sz w:val="32"/>
          <w:szCs w:val="32"/>
          <w:u w:val="none"/>
          <w:lang w:val="en-US" w:eastAsia="zh-CN" w:bidi="ar"/>
        </w:rPr>
        <w:t>相应补贴资金。</w:t>
      </w:r>
    </w:p>
    <w:p w14:paraId="145D29B5">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14:paraId="50FD11DE">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w:t>
      </w:r>
      <w:r>
        <w:rPr>
          <w:rFonts w:hint="eastAsia" w:ascii="仿宋" w:hAnsi="仿宋" w:eastAsia="仿宋"/>
          <w:color w:val="auto"/>
          <w:sz w:val="32"/>
          <w:szCs w:val="32"/>
          <w:highlight w:val="none"/>
        </w:rPr>
        <w:t>以及</w:t>
      </w:r>
      <w:r>
        <w:rPr>
          <w:rFonts w:hint="eastAsia" w:ascii="仿宋" w:hAnsi="仿宋" w:eastAsia="仿宋"/>
          <w:color w:val="auto"/>
          <w:sz w:val="32"/>
          <w:szCs w:val="32"/>
          <w:highlight w:val="none"/>
          <w:lang w:eastAsia="zh-CN"/>
        </w:rPr>
        <w:t>综保区</w:t>
      </w:r>
      <w:r>
        <w:rPr>
          <w:rFonts w:hint="eastAsia" w:ascii="仿宋" w:hAnsi="仿宋" w:eastAsia="仿宋"/>
          <w:color w:val="auto"/>
          <w:sz w:val="32"/>
          <w:szCs w:val="32"/>
          <w:highlight w:val="none"/>
        </w:rPr>
        <w:t>系统从</w:t>
      </w:r>
      <w:r>
        <w:rPr>
          <w:rFonts w:hint="eastAsia" w:ascii="仿宋" w:hAnsi="仿宋" w:eastAsia="仿宋"/>
          <w:color w:val="auto"/>
          <w:sz w:val="32"/>
          <w:szCs w:val="32"/>
        </w:rPr>
        <w:t>事组织人事、纪检监察、审计、财务工作的岗位，并签订《回避承诺书》。用人单位工作人员涉及与应聘人员有上述亲属关系人员利害关系的，以及其他可能影响引才公正履行职责的，应当回避。</w:t>
      </w:r>
    </w:p>
    <w:p w14:paraId="2D5C5D49">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14:paraId="732F5CB3">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14:paraId="236F7138">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6239882</w:t>
      </w:r>
    </w:p>
    <w:p w14:paraId="09D8752C">
      <w:pPr>
        <w:spacing w:line="600" w:lineRule="exact"/>
        <w:ind w:firstLine="640" w:firstLineChars="200"/>
        <w:rPr>
          <w:rFonts w:hint="eastAsia" w:ascii="仿宋" w:hAnsi="仿宋" w:eastAsia="仿宋"/>
          <w:color w:val="auto"/>
          <w:sz w:val="32"/>
          <w:szCs w:val="32"/>
        </w:rPr>
      </w:pPr>
      <w:r>
        <w:rPr>
          <w:rFonts w:hint="eastAsia" w:ascii="仿宋" w:hAnsi="仿宋" w:eastAsia="仿宋" w:cs="仿宋_GB2312"/>
          <w:color w:val="auto"/>
          <w:sz w:val="32"/>
          <w:szCs w:val="32"/>
        </w:rPr>
        <w:t>监督举报电话：</w:t>
      </w:r>
      <w:r>
        <w:rPr>
          <w:rFonts w:hint="eastAsia" w:ascii="仿宋" w:hAnsi="仿宋" w:eastAsia="仿宋"/>
          <w:color w:val="auto"/>
          <w:sz w:val="32"/>
          <w:szCs w:val="32"/>
        </w:rPr>
        <w:t>0470-6231299</w:t>
      </w:r>
    </w:p>
    <w:p w14:paraId="117F35C1">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电话受理时间：上午9:00-12:00，下午14:30-17:30</w:t>
      </w:r>
      <w:r>
        <w:rPr>
          <w:rFonts w:hint="eastAsia" w:ascii="仿宋" w:hAnsi="仿宋" w:eastAsia="仿宋" w:cs="仿宋_GB2312"/>
          <w:color w:val="auto"/>
          <w:sz w:val="32"/>
          <w:szCs w:val="32"/>
          <w:lang w:eastAsia="zh-CN"/>
        </w:rPr>
        <w:t>（工作日）</w:t>
      </w:r>
    </w:p>
    <w:p w14:paraId="56693FF6">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w:t>
      </w:r>
      <w:r>
        <w:rPr>
          <w:rFonts w:hint="eastAsia" w:ascii="仿宋" w:hAnsi="仿宋" w:eastAsia="仿宋"/>
          <w:sz w:val="32"/>
          <w:szCs w:val="32"/>
          <w:highlight w:val="none"/>
        </w:rPr>
        <w:t>满洲里</w:t>
      </w:r>
      <w:r>
        <w:rPr>
          <w:rFonts w:hint="eastAsia" w:ascii="仿宋_GB2312" w:hAnsi="仿宋" w:eastAsia="仿宋_GB2312"/>
          <w:sz w:val="32"/>
          <w:szCs w:val="32"/>
        </w:rPr>
        <w:t>综合保税区管理委员会</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14:paraId="3B1680D3">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14:paraId="3C191F02">
      <w:pPr>
        <w:keepNext w:val="0"/>
        <w:keepLines w:val="0"/>
        <w:pageBreakBefore w:val="0"/>
        <w:widowControl w:val="0"/>
        <w:kinsoku/>
        <w:overflowPunct/>
        <w:topLinePunct w:val="0"/>
        <w:autoSpaceDE/>
        <w:autoSpaceDN/>
        <w:bidi w:val="0"/>
        <w:adjustRightInd/>
        <w:spacing w:line="540" w:lineRule="exact"/>
        <w:ind w:left="958" w:leftChars="304" w:hanging="320" w:hangingChars="100"/>
        <w:rPr>
          <w:rFonts w:hint="eastAsia" w:ascii="仿宋" w:hAnsi="仿宋" w:eastAsia="仿宋" w:cs="仿宋_GB2312"/>
          <w:color w:val="auto"/>
          <w:sz w:val="32"/>
          <w:szCs w:val="32"/>
        </w:rPr>
      </w:pPr>
      <w:r>
        <w:rPr>
          <w:rFonts w:hint="eastAsia" w:ascii="仿宋" w:hAnsi="仿宋" w:eastAsia="仿宋" w:cs="仿宋_GB2312"/>
          <w:color w:val="auto"/>
          <w:sz w:val="32"/>
          <w:szCs w:val="32"/>
        </w:rPr>
        <w:t>1.《</w:t>
      </w:r>
      <w:r>
        <w:rPr>
          <w:rFonts w:hint="eastAsia" w:ascii="仿宋" w:hAnsi="仿宋" w:eastAsia="仿宋" w:cs="仿宋_GB2312"/>
          <w:sz w:val="32"/>
          <w:szCs w:val="32"/>
          <w:highlight w:val="none"/>
        </w:rPr>
        <w:t>202</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年</w:t>
      </w:r>
      <w:r>
        <w:rPr>
          <w:rFonts w:hint="eastAsia" w:ascii="仿宋" w:hAnsi="仿宋" w:eastAsia="仿宋"/>
          <w:sz w:val="32"/>
          <w:szCs w:val="32"/>
          <w:highlight w:val="none"/>
        </w:rPr>
        <w:t>满洲里</w:t>
      </w:r>
      <w:r>
        <w:rPr>
          <w:rFonts w:hint="eastAsia" w:ascii="仿宋_GB2312" w:hAnsi="仿宋" w:eastAsia="仿宋_GB2312"/>
          <w:sz w:val="32"/>
          <w:szCs w:val="32"/>
        </w:rPr>
        <w:t>综合保税区管理委员会</w:t>
      </w:r>
      <w:r>
        <w:rPr>
          <w:rFonts w:hint="eastAsia" w:ascii="仿宋" w:hAnsi="仿宋" w:eastAsia="仿宋" w:cs="仿宋_GB2312"/>
          <w:sz w:val="32"/>
          <w:szCs w:val="32"/>
          <w:highlight w:val="none"/>
        </w:rPr>
        <w:t>所属事业单位人才引进</w:t>
      </w:r>
      <w:r>
        <w:rPr>
          <w:rFonts w:hint="eastAsia" w:ascii="仿宋" w:hAnsi="仿宋" w:eastAsia="仿宋" w:cs="仿宋_GB2312"/>
          <w:sz w:val="32"/>
          <w:szCs w:val="32"/>
          <w:highlight w:val="none"/>
          <w:lang w:val="en-US" w:eastAsia="zh-CN"/>
        </w:rPr>
        <w:t>岗位</w:t>
      </w:r>
      <w:r>
        <w:rPr>
          <w:rFonts w:hint="eastAsia" w:ascii="仿宋" w:hAnsi="仿宋" w:eastAsia="仿宋" w:cs="仿宋_GB2312"/>
          <w:sz w:val="32"/>
          <w:szCs w:val="32"/>
          <w:highlight w:val="none"/>
        </w:rPr>
        <w:t>需求表</w:t>
      </w:r>
      <w:r>
        <w:rPr>
          <w:rFonts w:hint="eastAsia" w:ascii="仿宋" w:hAnsi="仿宋" w:eastAsia="仿宋" w:cs="仿宋_GB2312"/>
          <w:color w:val="auto"/>
          <w:sz w:val="32"/>
          <w:szCs w:val="32"/>
        </w:rPr>
        <w:t>》</w:t>
      </w:r>
    </w:p>
    <w:p w14:paraId="5E9B0FF5">
      <w:pPr>
        <w:keepNext w:val="0"/>
        <w:keepLines w:val="0"/>
        <w:pageBreakBefore w:val="0"/>
        <w:widowControl w:val="0"/>
        <w:kinsoku/>
        <w:overflowPunct/>
        <w:topLinePunct w:val="0"/>
        <w:autoSpaceDE/>
        <w:autoSpaceDN/>
        <w:bidi w:val="0"/>
        <w:adjustRightInd/>
        <w:spacing w:line="540" w:lineRule="exact"/>
        <w:ind w:left="958" w:leftChars="304" w:hanging="320" w:hangingChars="1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年</w:t>
      </w:r>
      <w:r>
        <w:rPr>
          <w:rFonts w:hint="eastAsia" w:ascii="仿宋" w:hAnsi="仿宋" w:eastAsia="仿宋"/>
          <w:sz w:val="32"/>
          <w:szCs w:val="32"/>
          <w:highlight w:val="none"/>
        </w:rPr>
        <w:t>满洲里</w:t>
      </w:r>
      <w:r>
        <w:rPr>
          <w:rFonts w:hint="eastAsia" w:ascii="仿宋_GB2312" w:hAnsi="仿宋" w:eastAsia="仿宋_GB2312"/>
          <w:sz w:val="32"/>
          <w:szCs w:val="32"/>
        </w:rPr>
        <w:t>综合保税区管理委员会</w:t>
      </w:r>
      <w:r>
        <w:rPr>
          <w:rFonts w:hint="eastAsia" w:ascii="仿宋" w:hAnsi="仿宋" w:eastAsia="仿宋" w:cs="仿宋_GB2312"/>
          <w:color w:val="auto"/>
          <w:sz w:val="32"/>
          <w:szCs w:val="32"/>
        </w:rPr>
        <w:t>所属事业单位人才引进报名表》</w:t>
      </w:r>
    </w:p>
    <w:p w14:paraId="2AD629BA">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14:paraId="25C79148">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14:paraId="18AAFCA6">
      <w:pPr>
        <w:keepNext w:val="0"/>
        <w:keepLines w:val="0"/>
        <w:pageBreakBefore w:val="0"/>
        <w:widowControl w:val="0"/>
        <w:kinsoku/>
        <w:overflowPunct/>
        <w:topLinePunct w:val="0"/>
        <w:autoSpaceDE/>
        <w:autoSpaceDN/>
        <w:bidi w:val="0"/>
        <w:adjustRightInd/>
        <w:spacing w:line="540" w:lineRule="exact"/>
        <w:rPr>
          <w:rFonts w:hint="eastAsia"/>
          <w:color w:val="auto"/>
        </w:rPr>
      </w:pPr>
    </w:p>
    <w:p w14:paraId="2C1A9D51">
      <w:pPr>
        <w:keepNext w:val="0"/>
        <w:keepLines w:val="0"/>
        <w:pageBreakBefore w:val="0"/>
        <w:widowControl w:val="0"/>
        <w:kinsoku/>
        <w:overflowPunct/>
        <w:topLinePunct w:val="0"/>
        <w:autoSpaceDE/>
        <w:autoSpaceDN/>
        <w:bidi w:val="0"/>
        <w:adjustRightInd/>
        <w:spacing w:line="540" w:lineRule="exact"/>
        <w:jc w:val="right"/>
        <w:rPr>
          <w:rFonts w:hint="default" w:ascii="仿宋" w:hAnsi="仿宋" w:eastAsia="仿宋" w:cs="仿宋_GB2312"/>
          <w:color w:val="auto"/>
          <w:sz w:val="32"/>
          <w:szCs w:val="32"/>
          <w:highlight w:val="none"/>
          <w:u w:val="none"/>
          <w:lang w:val="en-US" w:eastAsia="zh-CN"/>
        </w:rPr>
      </w:pPr>
      <w:r>
        <w:rPr>
          <w:rFonts w:hint="eastAsia" w:ascii="仿宋" w:hAnsi="仿宋" w:eastAsia="仿宋"/>
          <w:sz w:val="32"/>
          <w:szCs w:val="32"/>
          <w:highlight w:val="none"/>
        </w:rPr>
        <w:t>满洲里</w:t>
      </w:r>
      <w:r>
        <w:rPr>
          <w:rFonts w:hint="eastAsia" w:ascii="仿宋_GB2312" w:hAnsi="仿宋" w:eastAsia="仿宋_GB2312"/>
          <w:sz w:val="32"/>
          <w:szCs w:val="32"/>
        </w:rPr>
        <w:t>综合保</w:t>
      </w:r>
      <w:r>
        <w:rPr>
          <w:rFonts w:hint="eastAsia" w:ascii="仿宋_GB2312" w:hAnsi="仿宋" w:eastAsia="仿宋_GB2312"/>
          <w:sz w:val="32"/>
          <w:szCs w:val="32"/>
          <w:highlight w:val="none"/>
        </w:rPr>
        <w:t>税区管理委员会</w:t>
      </w:r>
      <w:r>
        <w:rPr>
          <w:rFonts w:hint="eastAsia" w:ascii="仿宋" w:hAnsi="仿宋" w:eastAsia="仿宋" w:cs="仿宋_GB2312"/>
          <w:color w:val="auto"/>
          <w:sz w:val="32"/>
          <w:szCs w:val="32"/>
          <w:highlight w:val="none"/>
          <w:u w:val="none"/>
          <w:lang w:val="en-US" w:eastAsia="zh-CN"/>
        </w:rPr>
        <w:t>人才引进工作领导小组</w:t>
      </w:r>
    </w:p>
    <w:p w14:paraId="12997331">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202</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9</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25</w:t>
      </w:r>
      <w:r>
        <w:rPr>
          <w:rFonts w:hint="eastAsia" w:ascii="仿宋" w:hAnsi="仿宋" w:eastAsia="仿宋" w:cs="仿宋_GB2312"/>
          <w:color w:val="auto"/>
          <w:sz w:val="32"/>
          <w:szCs w:val="32"/>
          <w:highlight w:val="none"/>
        </w:rPr>
        <w:t>日</w:t>
      </w:r>
    </w:p>
    <w:p w14:paraId="5887A890">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14:paraId="69A77552">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14:paraId="3BB664F9">
      <w:pPr>
        <w:spacing w:line="560" w:lineRule="exact"/>
        <w:ind w:firstLine="640" w:firstLineChars="200"/>
        <w:jc w:val="left"/>
        <w:rPr>
          <w:rFonts w:ascii="仿宋" w:hAnsi="仿宋" w:eastAsia="仿宋" w:cs="仿宋"/>
          <w:color w:val="auto"/>
          <w:sz w:val="32"/>
          <w:szCs w:val="32"/>
        </w:rPr>
      </w:pPr>
    </w:p>
    <w:p w14:paraId="3DF742B6">
      <w:pPr>
        <w:pStyle w:val="4"/>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4</w:t>
      </w:r>
      <w:r>
        <w:rPr>
          <w:rFonts w:hint="eastAsia" w:ascii="方正小标宋简体" w:hAnsi="宋体" w:eastAsia="方正小标宋简体" w:cs="宋体"/>
          <w:color w:val="auto"/>
          <w:kern w:val="0"/>
          <w:sz w:val="40"/>
          <w:szCs w:val="40"/>
        </w:rPr>
        <w:t>年满洲里综合保税区管理委员会</w:t>
      </w:r>
      <w:r>
        <w:rPr>
          <w:rFonts w:hint="eastAsia" w:ascii="方正小标宋简体" w:hAnsi="宋体" w:eastAsia="方正小标宋简体" w:cs="宋体"/>
          <w:color w:val="auto"/>
          <w:kern w:val="0"/>
          <w:sz w:val="40"/>
          <w:szCs w:val="40"/>
          <w:lang w:val="en-US" w:eastAsia="zh-CN"/>
        </w:rPr>
        <w:t>所属事业单位</w:t>
      </w:r>
      <w:r>
        <w:rPr>
          <w:rFonts w:hint="eastAsia" w:ascii="方正小标宋简体" w:hAnsi="宋体" w:eastAsia="方正小标宋简体" w:cs="宋体"/>
          <w:color w:val="auto"/>
          <w:kern w:val="0"/>
          <w:sz w:val="40"/>
          <w:szCs w:val="40"/>
        </w:rPr>
        <w:t>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8"/>
        <w:tblW w:w="15074" w:type="dxa"/>
        <w:tblInd w:w="-5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200"/>
        <w:gridCol w:w="1000"/>
        <w:gridCol w:w="1000"/>
        <w:gridCol w:w="528"/>
        <w:gridCol w:w="543"/>
        <w:gridCol w:w="698"/>
        <w:gridCol w:w="495"/>
        <w:gridCol w:w="2469"/>
        <w:gridCol w:w="1350"/>
        <w:gridCol w:w="2567"/>
        <w:gridCol w:w="1133"/>
        <w:gridCol w:w="1474"/>
      </w:tblGrid>
      <w:tr w14:paraId="7152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89AF">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613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431E">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引进</w:t>
            </w:r>
          </w:p>
          <w:p w14:paraId="36E0D07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86AF">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岗位</w:t>
            </w:r>
          </w:p>
          <w:p w14:paraId="0670E61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名称</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BE9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CB6E">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8AB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A89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90A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C5B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A8F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DAB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FB9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14:paraId="0D31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1A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8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满洲里综合保税区管理委员会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1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18"/>
                <w:szCs w:val="18"/>
                <w:u w:val="none"/>
                <w:lang w:val="en-US" w:eastAsia="zh-CN" w:bidi="ar"/>
              </w:rPr>
              <w:t>综合保障中心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0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政策研究</w:t>
            </w:r>
          </w:p>
          <w:p w14:paraId="4E046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和经济分</w:t>
            </w:r>
          </w:p>
          <w:p w14:paraId="69DD1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18"/>
                <w:szCs w:val="18"/>
                <w:u w:val="none"/>
                <w:lang w:val="en-US" w:eastAsia="zh-CN" w:bidi="ar"/>
              </w:rPr>
              <w:t>析岗</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5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4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A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国家统招全日制普通高校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E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学士学位及以上</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635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w:t>
            </w:r>
          </w:p>
          <w:p w14:paraId="01D23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020401国际经济与贸易020102经济统计学</w:t>
            </w:r>
          </w:p>
          <w:p w14:paraId="42AA70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020109T数字经济</w:t>
            </w:r>
          </w:p>
          <w:p w14:paraId="11C459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020307T经济与金融</w:t>
            </w:r>
          </w:p>
          <w:p w14:paraId="65C0FE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030105T国际经贸规划</w:t>
            </w:r>
          </w:p>
          <w:p w14:paraId="16B8DF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研究生：</w:t>
            </w:r>
          </w:p>
          <w:p w14:paraId="6763B2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0202应用经济学</w:t>
            </w:r>
          </w:p>
          <w:p w14:paraId="35F2A26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030109国际法学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5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lang w:val="en-US" w:eastAsia="zh-CN"/>
              </w:rPr>
            </w:pPr>
            <w:r>
              <w:rPr>
                <w:rFonts w:hint="eastAsia" w:ascii="宋体" w:hAnsi="宋体" w:eastAsia="宋体" w:cs="宋体"/>
                <w:i w:val="0"/>
                <w:iCs w:val="0"/>
                <w:color w:val="000000"/>
                <w:kern w:val="0"/>
                <w:sz w:val="16"/>
                <w:szCs w:val="16"/>
                <w:u w:val="none"/>
                <w:lang w:val="en-US" w:eastAsia="zh-CN" w:bidi="ar"/>
              </w:rPr>
              <w:t>全日制本科生不超过35周岁，硕士研究生不超过40周岁，博士研究生原则上不超过45周岁。</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BD3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16"/>
                <w:szCs w:val="16"/>
                <w:u w:val="none"/>
                <w:lang w:val="en-US" w:eastAsia="zh-CN" w:bidi="ar"/>
              </w:rPr>
              <w:t>1.本科生报考应具有一流大学、一流学科建设高校或原“985”“211”高校全日制本科学历并取得相应学位；研究生以上学历报考应具有全日制研究生以上学历并取得相应学位，且本科起点需为一流大学、一流学科建设高校或原“985”“211”高校全日制本科学历并取得相应学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38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instrText xml:space="preserve"> HYPERLINK "mailto:mzlzhbsqgwh@163.com" \o "mailto:mzlzhbsqgwh@163.com" </w:instrTex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fldChar w:fldCharType="separate"/>
            </w:r>
            <w:r>
              <w:rPr>
                <w:rStyle w:val="12"/>
                <w:rFonts w:hint="eastAsia" w:ascii="宋体" w:hAnsi="宋体" w:eastAsia="宋体" w:cs="宋体"/>
                <w:i w:val="0"/>
                <w:iCs w:val="0"/>
                <w:color w:val="000000" w:themeColor="text1"/>
                <w:sz w:val="20"/>
                <w:szCs w:val="20"/>
                <w:u w:val="none"/>
                <w14:textFill>
                  <w14:solidFill>
                    <w14:schemeClr w14:val="tx1"/>
                  </w14:solidFill>
                </w14:textFill>
              </w:rPr>
              <w:t>樊佳琦</w:t>
            </w:r>
            <w:r>
              <w:rPr>
                <w:rStyle w:val="12"/>
                <w:rFonts w:hint="eastAsia" w:ascii="宋体" w:hAnsi="宋体" w:cs="宋体"/>
                <w:i w:val="0"/>
                <w:iCs w:val="0"/>
                <w:color w:val="000000" w:themeColor="text1"/>
                <w:sz w:val="20"/>
                <w:szCs w:val="20"/>
                <w:u w:val="none"/>
                <w:lang w:val="en-US" w:eastAsia="zh-CN"/>
                <w14:textFill>
                  <w14:solidFill>
                    <w14:schemeClr w14:val="tx1"/>
                  </w14:solidFill>
                </w14:textFill>
              </w:rPr>
              <w:t>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fldChar w:fldCharType="end"/>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239882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69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2"/>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"mailto:mzlzhbsqgwh@163.com"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12"/>
                <w:rFonts w:hint="eastAsia" w:ascii="宋体" w:hAnsi="宋体" w:eastAsia="宋体" w:cs="宋体"/>
                <w:i w:val="0"/>
                <w:iCs w:val="0"/>
                <w:color w:val="000000" w:themeColor="text1"/>
                <w:sz w:val="22"/>
                <w:szCs w:val="22"/>
                <w:u w:val="none"/>
                <w14:textFill>
                  <w14:solidFill>
                    <w14:schemeClr w14:val="tx1"/>
                  </w14:solidFill>
                </w14:textFill>
              </w:rPr>
              <w:t>mzlzhbsqgwh</w:t>
            </w:r>
          </w:p>
          <w:p w14:paraId="2AF5C3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Style w:val="12"/>
                <w:rFonts w:hint="eastAsia" w:ascii="宋体" w:hAnsi="宋体" w:eastAsia="宋体" w:cs="宋体"/>
                <w:i w:val="0"/>
                <w:iCs w:val="0"/>
                <w:color w:val="000000" w:themeColor="text1"/>
                <w:sz w:val="22"/>
                <w:szCs w:val="22"/>
                <w:u w:val="none"/>
                <w14:textFill>
                  <w14:solidFill>
                    <w14:schemeClr w14:val="tx1"/>
                  </w14:solidFill>
                </w14:textFill>
              </w:rPr>
              <w:t>@163.com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r>
      <w:tr w14:paraId="4EAD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9F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75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满洲里综合保税区管理委员会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B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综合保障中心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5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铁路专用线项目岗</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1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C8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本科及以上</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6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国家统招全日制普通高校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9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学士学位及以上</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2A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w:t>
            </w:r>
          </w:p>
          <w:p w14:paraId="26C196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120601物流管理</w:t>
            </w:r>
          </w:p>
          <w:p w14:paraId="577E00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120602物流工程</w:t>
            </w:r>
          </w:p>
          <w:p w14:paraId="776760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120406TK海关管理</w:t>
            </w:r>
          </w:p>
          <w:p w14:paraId="3C5524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120407T交通管理</w:t>
            </w:r>
          </w:p>
          <w:p w14:paraId="7DF3D0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120803T跨境电子商务</w:t>
            </w:r>
          </w:p>
          <w:p w14:paraId="0BF63B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研究生：</w:t>
            </w:r>
          </w:p>
          <w:p w14:paraId="3CF373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120401行政管理</w:t>
            </w:r>
          </w:p>
          <w:p w14:paraId="62573B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1252公共管理</w:t>
            </w:r>
          </w:p>
          <w:p w14:paraId="2D374B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020206国际贸易学</w:t>
            </w:r>
          </w:p>
          <w:p w14:paraId="6BEBE5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0254国际商务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C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lang w:val="en-US" w:eastAsia="zh-CN"/>
              </w:rPr>
            </w:pPr>
            <w:r>
              <w:rPr>
                <w:rFonts w:hint="eastAsia" w:ascii="宋体" w:hAnsi="宋体" w:eastAsia="宋体" w:cs="宋体"/>
                <w:i w:val="0"/>
                <w:iCs w:val="0"/>
                <w:color w:val="000000"/>
                <w:kern w:val="0"/>
                <w:sz w:val="16"/>
                <w:szCs w:val="16"/>
                <w:u w:val="none"/>
                <w:lang w:val="en-US" w:eastAsia="zh-CN" w:bidi="ar"/>
              </w:rPr>
              <w:t>全日制本科生不超过35周岁，硕士研究生不超过40周岁，博士研究生原则上不超过45周岁。</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F2D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本科生报考应具有一流大学、一流学科建设高校或原“985”“211”高校全日制本科学历并取得相应学位；研究生以上学历报考应具有全日制研究生以上学历并取得相应学位，且本科起点需为一流大学、一流学科建设高校或原“985”“211”高校全日制本科学历并取得相应学位；</w:t>
            </w:r>
          </w:p>
          <w:p w14:paraId="2A5039B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cs="宋体"/>
                <w:i w:val="0"/>
                <w:iCs w:val="0"/>
                <w:color w:val="000000"/>
                <w:kern w:val="0"/>
                <w:sz w:val="16"/>
                <w:szCs w:val="16"/>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90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instrText xml:space="preserve"> HYPERLINK "mailto:mzlzhbsqgwh@163.com" \o "mailto:mzlzhbsqgwh@163.com" </w:instrTex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fldChar w:fldCharType="separate"/>
            </w:r>
            <w:r>
              <w:rPr>
                <w:rStyle w:val="12"/>
                <w:rFonts w:hint="eastAsia" w:ascii="宋体" w:hAnsi="宋体" w:eastAsia="宋体" w:cs="宋体"/>
                <w:i w:val="0"/>
                <w:iCs w:val="0"/>
                <w:color w:val="000000" w:themeColor="text1"/>
                <w:sz w:val="20"/>
                <w:szCs w:val="20"/>
                <w:u w:val="none"/>
                <w14:textFill>
                  <w14:solidFill>
                    <w14:schemeClr w14:val="tx1"/>
                  </w14:solidFill>
                </w14:textFill>
              </w:rPr>
              <w:t>樊佳琦</w:t>
            </w:r>
            <w:r>
              <w:rPr>
                <w:rStyle w:val="12"/>
                <w:rFonts w:hint="eastAsia" w:ascii="宋体" w:hAnsi="宋体" w:cs="宋体"/>
                <w:i w:val="0"/>
                <w:iCs w:val="0"/>
                <w:color w:val="000000" w:themeColor="text1"/>
                <w:sz w:val="20"/>
                <w:szCs w:val="20"/>
                <w:u w:val="none"/>
                <w:lang w:val="en-US" w:eastAsia="zh-CN"/>
                <w14:textFill>
                  <w14:solidFill>
                    <w14:schemeClr w14:val="tx1"/>
                  </w14:solidFill>
                </w14:textFill>
              </w:rPr>
              <w:t>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fldChar w:fldCharType="end"/>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239882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BE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2"/>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"mailto:mzlzhbsqgwh@163.com"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12"/>
                <w:rFonts w:hint="eastAsia" w:ascii="宋体" w:hAnsi="宋体" w:eastAsia="宋体" w:cs="宋体"/>
                <w:i w:val="0"/>
                <w:iCs w:val="0"/>
                <w:color w:val="000000" w:themeColor="text1"/>
                <w:sz w:val="22"/>
                <w:szCs w:val="22"/>
                <w:u w:val="none"/>
                <w14:textFill>
                  <w14:solidFill>
                    <w14:schemeClr w14:val="tx1"/>
                  </w14:solidFill>
                </w14:textFill>
              </w:rPr>
              <w:t>mzlzhbsqgwh</w:t>
            </w:r>
          </w:p>
          <w:p w14:paraId="57E6DD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Style w:val="12"/>
                <w:rFonts w:hint="eastAsia" w:ascii="宋体" w:hAnsi="宋体" w:eastAsia="宋体" w:cs="宋体"/>
                <w:i w:val="0"/>
                <w:iCs w:val="0"/>
                <w:color w:val="000000" w:themeColor="text1"/>
                <w:sz w:val="22"/>
                <w:szCs w:val="22"/>
                <w:u w:val="none"/>
                <w14:textFill>
                  <w14:solidFill>
                    <w14:schemeClr w14:val="tx1"/>
                  </w14:solidFill>
                </w14:textFill>
              </w:rPr>
              <w:t>@163.com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r>
      <w:tr w14:paraId="705A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58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4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满洲里综合保税区管理委员会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9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综合保障中心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C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项目编制管理岗</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6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C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本科及以上</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B5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国家统招全日制普通高校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3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学士学位及以上</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5E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w:t>
            </w:r>
          </w:p>
          <w:p w14:paraId="326D67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082802城乡规划</w:t>
            </w:r>
          </w:p>
          <w:p w14:paraId="296217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081811T智慧交通</w:t>
            </w:r>
            <w:r>
              <w:rPr>
                <w:rFonts w:hint="eastAsia" w:ascii="宋体" w:hAnsi="宋体" w:cs="宋体"/>
                <w:i w:val="0"/>
                <w:iCs w:val="0"/>
                <w:color w:val="000000"/>
                <w:kern w:val="0"/>
                <w:sz w:val="18"/>
                <w:szCs w:val="18"/>
                <w:u w:val="none"/>
                <w:lang w:val="en-US" w:eastAsia="zh-CN" w:bidi="ar"/>
              </w:rPr>
              <w:t xml:space="preserve">               </w:t>
            </w:r>
          </w:p>
          <w:p w14:paraId="7C9069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p>
          <w:p w14:paraId="3565D4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研究生：</w:t>
            </w:r>
          </w:p>
          <w:p w14:paraId="2A4D0C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082301道路与铁道工程</w:t>
            </w:r>
          </w:p>
          <w:p w14:paraId="05B842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0861交通运输</w:t>
            </w:r>
          </w:p>
          <w:p w14:paraId="5FDFA57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0833城乡规划学</w:t>
            </w:r>
          </w:p>
          <w:p w14:paraId="45714F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020205产业经济学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7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18"/>
                <w:szCs w:val="18"/>
                <w:u w:val="none"/>
                <w:lang w:val="en-US" w:eastAsia="zh-CN"/>
              </w:rPr>
            </w:pPr>
            <w:r>
              <w:rPr>
                <w:rFonts w:hint="eastAsia" w:ascii="仿宋_GB2312" w:hAnsi="仿宋_GB2312" w:eastAsia="仿宋_GB2312" w:cs="仿宋_GB2312"/>
                <w:i w:val="0"/>
                <w:iCs w:val="0"/>
                <w:color w:val="auto"/>
                <w:sz w:val="18"/>
                <w:szCs w:val="18"/>
                <w:u w:val="none"/>
                <w:lang w:val="en-US" w:eastAsia="zh-CN"/>
              </w:rPr>
              <w:t>全</w:t>
            </w:r>
            <w:r>
              <w:rPr>
                <w:rFonts w:hint="eastAsia" w:ascii="宋体" w:hAnsi="宋体" w:eastAsia="宋体" w:cs="宋体"/>
                <w:i w:val="0"/>
                <w:iCs w:val="0"/>
                <w:color w:val="000000"/>
                <w:kern w:val="0"/>
                <w:sz w:val="16"/>
                <w:szCs w:val="16"/>
                <w:u w:val="none"/>
                <w:lang w:val="en-US" w:eastAsia="zh-CN" w:bidi="ar"/>
              </w:rPr>
              <w:t>日制本科生不超过35周岁，硕士研究生不超过40周岁，博士研究生原则上不超过45周岁。</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A1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本科生报考应具有一流大学、一流学科建设高校或原“985”“211”高校全日制本科学历并取得相应学位；研究生以上学历报考应具有全日制研究生以上学历并取得相应学位，且本科起点需为一流大学、一流学科建设高校或原“985”“2</w:t>
            </w:r>
            <w:r>
              <w:rPr>
                <w:rFonts w:hint="eastAsia" w:ascii="宋体" w:hAnsi="宋体" w:eastAsia="宋体" w:cs="宋体"/>
                <w:i w:val="0"/>
                <w:iCs w:val="0"/>
                <w:color w:val="000000"/>
                <w:kern w:val="0"/>
                <w:sz w:val="16"/>
                <w:szCs w:val="16"/>
                <w:u w:val="none"/>
                <w:lang w:val="en-US" w:eastAsia="zh-CN" w:bidi="ar"/>
              </w:rPr>
              <w:t>11”高</w:t>
            </w:r>
            <w:r>
              <w:rPr>
                <w:rFonts w:hint="eastAsia" w:ascii="宋体" w:hAnsi="宋体" w:cs="宋体"/>
                <w:i w:val="0"/>
                <w:iCs w:val="0"/>
                <w:color w:val="000000"/>
                <w:kern w:val="0"/>
                <w:sz w:val="16"/>
                <w:szCs w:val="16"/>
                <w:u w:val="none"/>
                <w:lang w:val="en-US" w:eastAsia="zh-CN" w:bidi="ar"/>
              </w:rPr>
              <w:t>校全日制本科学历并取得相应学位。</w:t>
            </w:r>
          </w:p>
          <w:p w14:paraId="6C8CE43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cs="宋体"/>
                <w:i w:val="0"/>
                <w:iCs w:val="0"/>
                <w:color w:val="000000"/>
                <w:kern w:val="0"/>
                <w:sz w:val="16"/>
                <w:szCs w:val="16"/>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1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instrText xml:space="preserve"> HYPERLINK "mailto:mzlzhbsqgwh@163.com" \o "mailto:mzlzhbsqgwh@163.com" </w:instrTex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fldChar w:fldCharType="separate"/>
            </w:r>
            <w:r>
              <w:rPr>
                <w:rStyle w:val="12"/>
                <w:rFonts w:hint="eastAsia" w:ascii="宋体" w:hAnsi="宋体" w:eastAsia="宋体" w:cs="宋体"/>
                <w:i w:val="0"/>
                <w:iCs w:val="0"/>
                <w:color w:val="000000" w:themeColor="text1"/>
                <w:sz w:val="20"/>
                <w:szCs w:val="20"/>
                <w:u w:val="none"/>
                <w14:textFill>
                  <w14:solidFill>
                    <w14:schemeClr w14:val="tx1"/>
                  </w14:solidFill>
                </w14:textFill>
              </w:rPr>
              <w:t>樊佳琦</w:t>
            </w:r>
            <w:r>
              <w:rPr>
                <w:rStyle w:val="12"/>
                <w:rFonts w:hint="eastAsia" w:ascii="宋体" w:hAnsi="宋体" w:cs="宋体"/>
                <w:i w:val="0"/>
                <w:iCs w:val="0"/>
                <w:color w:val="000000" w:themeColor="text1"/>
                <w:sz w:val="20"/>
                <w:szCs w:val="20"/>
                <w:u w:val="none"/>
                <w:lang w:val="en-US" w:eastAsia="zh-CN"/>
                <w14:textFill>
                  <w14:solidFill>
                    <w14:schemeClr w14:val="tx1"/>
                  </w14:solidFill>
                </w14:textFill>
              </w:rPr>
              <w:t>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fldChar w:fldCharType="end"/>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239882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2176">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"mailto:mzlzhbsqgwh@163.com"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12"/>
                <w:rFonts w:hint="eastAsia" w:ascii="宋体" w:hAnsi="宋体" w:eastAsia="宋体" w:cs="宋体"/>
                <w:i w:val="0"/>
                <w:iCs w:val="0"/>
                <w:color w:val="000000" w:themeColor="text1"/>
                <w:sz w:val="22"/>
                <w:szCs w:val="22"/>
                <w:u w:val="none"/>
                <w14:textFill>
                  <w14:solidFill>
                    <w14:schemeClr w14:val="tx1"/>
                  </w14:solidFill>
                </w14:textFill>
              </w:rPr>
              <w:t>mzlzhbsqgwh@163.com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r>
    </w:tbl>
    <w:p w14:paraId="0CF9DBF2">
      <w:pPr>
        <w:snapToGrid w:val="0"/>
        <w:jc w:val="center"/>
        <w:rPr>
          <w:rFonts w:ascii="方正小标宋简体" w:hAnsi="方正小标宋简体" w:eastAsia="方正小标宋简体" w:cs="方正小标宋简体"/>
          <w:color w:val="auto"/>
          <w:sz w:val="48"/>
          <w:szCs w:val="48"/>
        </w:rPr>
      </w:pPr>
    </w:p>
    <w:p w14:paraId="4084DA95">
      <w:pPr>
        <w:pStyle w:val="4"/>
        <w:sectPr>
          <w:pgSz w:w="16838" w:h="11906" w:orient="landscape"/>
          <w:pgMar w:top="1803" w:right="1440" w:bottom="1803" w:left="1440" w:header="851" w:footer="992" w:gutter="0"/>
          <w:cols w:space="0" w:num="1"/>
          <w:docGrid w:type="lines" w:linePitch="319" w:charSpace="0"/>
        </w:sectPr>
      </w:pPr>
    </w:p>
    <w:tbl>
      <w:tblPr>
        <w:tblStyle w:val="8"/>
        <w:tblW w:w="10580" w:type="dxa"/>
        <w:jc w:val="center"/>
        <w:tblLayout w:type="fixed"/>
        <w:tblCellMar>
          <w:top w:w="0" w:type="dxa"/>
          <w:left w:w="108" w:type="dxa"/>
          <w:bottom w:w="0" w:type="dxa"/>
          <w:right w:w="108" w:type="dxa"/>
        </w:tblCellMar>
      </w:tblPr>
      <w:tblGrid>
        <w:gridCol w:w="2260"/>
        <w:gridCol w:w="1300"/>
        <w:gridCol w:w="1880"/>
        <w:gridCol w:w="1621"/>
        <w:gridCol w:w="1559"/>
        <w:gridCol w:w="1960"/>
      </w:tblGrid>
      <w:tr w14:paraId="1A3B1FF5">
        <w:tblPrEx>
          <w:tblCellMar>
            <w:top w:w="0" w:type="dxa"/>
            <w:left w:w="108" w:type="dxa"/>
            <w:bottom w:w="0" w:type="dxa"/>
            <w:right w:w="108" w:type="dxa"/>
          </w:tblCellMar>
        </w:tblPrEx>
        <w:trPr>
          <w:trHeight w:val="504" w:hRule="atLeast"/>
          <w:jc w:val="center"/>
        </w:trPr>
        <w:tc>
          <w:tcPr>
            <w:tcW w:w="3560" w:type="dxa"/>
            <w:gridSpan w:val="2"/>
            <w:tcBorders>
              <w:top w:val="nil"/>
              <w:left w:val="nil"/>
              <w:bottom w:val="nil"/>
              <w:right w:val="nil"/>
            </w:tcBorders>
            <w:shd w:val="clear" w:color="auto" w:fill="auto"/>
            <w:noWrap/>
            <w:vAlign w:val="center"/>
          </w:tcPr>
          <w:p w14:paraId="36065326">
            <w:pPr>
              <w:widowControl/>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28"/>
                <w:szCs w:val="28"/>
              </w:rPr>
              <w:t>附件2</w:t>
            </w:r>
            <w:r>
              <w:rPr>
                <w:rFonts w:hint="eastAsia" w:ascii="宋体" w:hAnsi="宋体" w:cs="宋体"/>
                <w:b/>
                <w:bCs/>
                <w:color w:val="auto"/>
                <w:kern w:val="0"/>
                <w:sz w:val="28"/>
                <w:szCs w:val="28"/>
                <w:lang w:eastAsia="zh-CN"/>
              </w:rPr>
              <w:t>：</w:t>
            </w:r>
          </w:p>
        </w:tc>
        <w:tc>
          <w:tcPr>
            <w:tcW w:w="1880" w:type="dxa"/>
            <w:tcBorders>
              <w:top w:val="nil"/>
              <w:left w:val="nil"/>
              <w:bottom w:val="nil"/>
              <w:right w:val="nil"/>
            </w:tcBorders>
            <w:shd w:val="clear" w:color="auto" w:fill="auto"/>
            <w:noWrap/>
            <w:vAlign w:val="center"/>
          </w:tcPr>
          <w:p w14:paraId="710D7922">
            <w:pPr>
              <w:widowControl/>
              <w:jc w:val="left"/>
              <w:rPr>
                <w:rFonts w:ascii="宋体" w:hAnsi="宋体" w:cs="宋体"/>
                <w:color w:val="auto"/>
                <w:kern w:val="0"/>
                <w:sz w:val="24"/>
              </w:rPr>
            </w:pPr>
          </w:p>
        </w:tc>
        <w:tc>
          <w:tcPr>
            <w:tcW w:w="1621" w:type="dxa"/>
            <w:tcBorders>
              <w:top w:val="nil"/>
              <w:left w:val="nil"/>
              <w:bottom w:val="nil"/>
              <w:right w:val="nil"/>
            </w:tcBorders>
            <w:shd w:val="clear" w:color="auto" w:fill="auto"/>
            <w:noWrap/>
            <w:vAlign w:val="center"/>
          </w:tcPr>
          <w:p w14:paraId="569E76B7">
            <w:pPr>
              <w:widowControl/>
              <w:jc w:val="left"/>
              <w:rPr>
                <w:rFonts w:ascii="宋体" w:hAnsi="宋体" w:cs="宋体"/>
                <w:color w:val="auto"/>
                <w:kern w:val="0"/>
                <w:sz w:val="24"/>
              </w:rPr>
            </w:pPr>
          </w:p>
        </w:tc>
        <w:tc>
          <w:tcPr>
            <w:tcW w:w="1559" w:type="dxa"/>
            <w:tcBorders>
              <w:top w:val="nil"/>
              <w:left w:val="nil"/>
              <w:bottom w:val="nil"/>
              <w:right w:val="nil"/>
            </w:tcBorders>
            <w:shd w:val="clear" w:color="auto" w:fill="auto"/>
            <w:noWrap/>
            <w:vAlign w:val="center"/>
          </w:tcPr>
          <w:p w14:paraId="46E0FAE8">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14:paraId="63A3ACD4">
            <w:pPr>
              <w:widowControl/>
              <w:jc w:val="left"/>
              <w:rPr>
                <w:rFonts w:ascii="宋体" w:hAnsi="宋体" w:cs="宋体"/>
                <w:color w:val="auto"/>
                <w:kern w:val="0"/>
                <w:sz w:val="24"/>
              </w:rPr>
            </w:pPr>
          </w:p>
        </w:tc>
      </w:tr>
      <w:tr w14:paraId="63D31503">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14:paraId="29BD6785">
            <w:pPr>
              <w:widowControl/>
              <w:spacing w:line="500" w:lineRule="exact"/>
              <w:jc w:val="center"/>
              <w:rPr>
                <w:rFonts w:hint="eastAsia"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2024年满洲里综合保税区管理委员会</w:t>
            </w:r>
          </w:p>
          <w:p w14:paraId="52B78EAA">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kern w:val="0"/>
                <w:sz w:val="40"/>
                <w:szCs w:val="40"/>
              </w:rPr>
              <w:t>所属事业单位</w:t>
            </w:r>
            <w:r>
              <w:rPr>
                <w:rFonts w:hint="eastAsia" w:ascii="方正小标宋简体" w:hAnsi="宋体" w:eastAsia="方正小标宋简体" w:cs="宋体"/>
                <w:kern w:val="0"/>
                <w:sz w:val="40"/>
                <w:szCs w:val="40"/>
                <w:highlight w:val="none"/>
              </w:rPr>
              <w:t>人才引进</w:t>
            </w:r>
            <w:r>
              <w:rPr>
                <w:rFonts w:hint="eastAsia" w:ascii="方正小标宋简体" w:hAnsi="宋体" w:eastAsia="方正小标宋简体" w:cs="宋体"/>
                <w:kern w:val="0"/>
                <w:sz w:val="40"/>
                <w:szCs w:val="40"/>
              </w:rPr>
              <w:t>报名表</w:t>
            </w:r>
          </w:p>
        </w:tc>
      </w:tr>
      <w:tr w14:paraId="0945EFF5">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51385899">
            <w:pPr>
              <w:widowControl/>
              <w:jc w:val="center"/>
              <w:rPr>
                <w:rFonts w:ascii="宋体" w:hAnsi="宋体" w:cs="宋体"/>
                <w:color w:val="auto"/>
                <w:kern w:val="0"/>
                <w:sz w:val="21"/>
                <w:szCs w:val="21"/>
              </w:rPr>
            </w:pPr>
            <w:r>
              <w:rPr>
                <w:rFonts w:hint="eastAsia" w:ascii="宋体" w:hAnsi="宋体" w:cs="宋体"/>
                <w:color w:val="auto"/>
                <w:kern w:val="0"/>
                <w:sz w:val="21"/>
                <w:szCs w:val="21"/>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6067B578">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309B1E2">
            <w:pPr>
              <w:widowControl/>
              <w:jc w:val="center"/>
              <w:rPr>
                <w:rFonts w:ascii="宋体" w:hAnsi="宋体" w:cs="宋体"/>
                <w:color w:val="auto"/>
                <w:kern w:val="0"/>
                <w:sz w:val="21"/>
                <w:szCs w:val="21"/>
              </w:rPr>
            </w:pPr>
            <w:r>
              <w:rPr>
                <w:rFonts w:hint="eastAsia" w:ascii="宋体" w:hAnsi="宋体" w:cs="宋体"/>
                <w:color w:val="auto"/>
                <w:kern w:val="0"/>
                <w:sz w:val="21"/>
                <w:szCs w:val="21"/>
              </w:rPr>
              <w:t>2寸彩色免冠照片</w:t>
            </w:r>
          </w:p>
        </w:tc>
      </w:tr>
      <w:tr w14:paraId="29576BAA">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25320901">
            <w:pPr>
              <w:widowControl/>
              <w:jc w:val="center"/>
              <w:rPr>
                <w:rFonts w:ascii="宋体" w:hAnsi="宋体" w:cs="宋体"/>
                <w:color w:val="auto"/>
                <w:kern w:val="0"/>
                <w:sz w:val="21"/>
                <w:szCs w:val="21"/>
              </w:rPr>
            </w:pPr>
            <w:r>
              <w:rPr>
                <w:rFonts w:hint="eastAsia" w:ascii="宋体" w:hAnsi="宋体" w:cs="宋体"/>
                <w:color w:val="auto"/>
                <w:kern w:val="0"/>
                <w:sz w:val="21"/>
                <w:szCs w:val="21"/>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2E713181">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1A4A7284">
            <w:pPr>
              <w:widowControl/>
              <w:jc w:val="left"/>
              <w:rPr>
                <w:rFonts w:ascii="宋体" w:hAnsi="宋体" w:cs="宋体"/>
                <w:color w:val="auto"/>
                <w:kern w:val="0"/>
                <w:sz w:val="21"/>
                <w:szCs w:val="21"/>
              </w:rPr>
            </w:pPr>
          </w:p>
        </w:tc>
      </w:tr>
      <w:tr w14:paraId="3C0CFA5B">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6AF9C821">
            <w:pPr>
              <w:widowControl/>
              <w:jc w:val="center"/>
              <w:rPr>
                <w:rFonts w:ascii="宋体" w:hAnsi="宋体" w:cs="宋体"/>
                <w:color w:val="auto"/>
                <w:kern w:val="0"/>
                <w:sz w:val="21"/>
                <w:szCs w:val="21"/>
              </w:rPr>
            </w:pPr>
            <w:r>
              <w:rPr>
                <w:rFonts w:hint="eastAsia" w:ascii="宋体" w:hAnsi="宋体" w:cs="宋体"/>
                <w:color w:val="auto"/>
                <w:kern w:val="0"/>
                <w:sz w:val="21"/>
                <w:szCs w:val="21"/>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3B46E892">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62B9786B">
            <w:pPr>
              <w:widowControl/>
              <w:jc w:val="center"/>
              <w:rPr>
                <w:rFonts w:ascii="宋体" w:hAnsi="宋体" w:cs="宋体"/>
                <w:color w:val="auto"/>
                <w:kern w:val="0"/>
                <w:sz w:val="21"/>
                <w:szCs w:val="21"/>
              </w:rPr>
            </w:pPr>
            <w:r>
              <w:rPr>
                <w:rFonts w:hint="eastAsia" w:ascii="宋体" w:hAnsi="宋体" w:cs="宋体"/>
                <w:color w:val="auto"/>
                <w:kern w:val="0"/>
                <w:sz w:val="21"/>
                <w:szCs w:val="21"/>
              </w:rPr>
              <w:t>性别</w:t>
            </w:r>
          </w:p>
        </w:tc>
        <w:tc>
          <w:tcPr>
            <w:tcW w:w="1559" w:type="dxa"/>
            <w:tcBorders>
              <w:top w:val="nil"/>
              <w:left w:val="nil"/>
              <w:bottom w:val="single" w:color="auto" w:sz="4" w:space="0"/>
              <w:right w:val="single" w:color="auto" w:sz="4" w:space="0"/>
            </w:tcBorders>
            <w:shd w:val="clear" w:color="auto" w:fill="auto"/>
            <w:vAlign w:val="center"/>
          </w:tcPr>
          <w:p w14:paraId="47675F7C">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58F980D5">
            <w:pPr>
              <w:widowControl/>
              <w:jc w:val="left"/>
              <w:rPr>
                <w:rFonts w:ascii="宋体" w:hAnsi="宋体" w:cs="宋体"/>
                <w:color w:val="auto"/>
                <w:kern w:val="0"/>
                <w:sz w:val="21"/>
                <w:szCs w:val="21"/>
              </w:rPr>
            </w:pPr>
          </w:p>
        </w:tc>
      </w:tr>
      <w:tr w14:paraId="75DEC409">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01473442">
            <w:pPr>
              <w:widowControl/>
              <w:jc w:val="center"/>
              <w:rPr>
                <w:rFonts w:ascii="宋体" w:hAnsi="宋体" w:cs="宋体"/>
                <w:color w:val="auto"/>
                <w:kern w:val="0"/>
                <w:sz w:val="21"/>
                <w:szCs w:val="21"/>
              </w:rPr>
            </w:pPr>
            <w:r>
              <w:rPr>
                <w:rFonts w:hint="eastAsia" w:ascii="宋体" w:hAnsi="宋体" w:cs="宋体"/>
                <w:color w:val="auto"/>
                <w:kern w:val="0"/>
                <w:sz w:val="21"/>
                <w:szCs w:val="21"/>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6908E148">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53BFBD4D">
            <w:pPr>
              <w:widowControl/>
              <w:jc w:val="center"/>
              <w:rPr>
                <w:rFonts w:ascii="宋体" w:hAnsi="宋体" w:cs="宋体"/>
                <w:color w:val="auto"/>
                <w:kern w:val="0"/>
                <w:sz w:val="21"/>
                <w:szCs w:val="21"/>
              </w:rPr>
            </w:pPr>
            <w:r>
              <w:rPr>
                <w:rFonts w:hint="eastAsia" w:ascii="宋体" w:hAnsi="宋体" w:cs="宋体"/>
                <w:color w:val="auto"/>
                <w:kern w:val="0"/>
                <w:sz w:val="21"/>
                <w:szCs w:val="21"/>
              </w:rPr>
              <w:t>民族</w:t>
            </w:r>
          </w:p>
        </w:tc>
        <w:tc>
          <w:tcPr>
            <w:tcW w:w="1559" w:type="dxa"/>
            <w:tcBorders>
              <w:top w:val="nil"/>
              <w:left w:val="nil"/>
              <w:bottom w:val="single" w:color="auto" w:sz="4" w:space="0"/>
              <w:right w:val="single" w:color="auto" w:sz="4" w:space="0"/>
            </w:tcBorders>
            <w:shd w:val="clear" w:color="auto" w:fill="auto"/>
            <w:vAlign w:val="center"/>
          </w:tcPr>
          <w:p w14:paraId="7F5C476E">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64F0F64E">
            <w:pPr>
              <w:widowControl/>
              <w:jc w:val="left"/>
              <w:rPr>
                <w:rFonts w:ascii="宋体" w:hAnsi="宋体" w:cs="宋体"/>
                <w:color w:val="auto"/>
                <w:kern w:val="0"/>
                <w:sz w:val="21"/>
                <w:szCs w:val="21"/>
              </w:rPr>
            </w:pPr>
          </w:p>
        </w:tc>
      </w:tr>
      <w:tr w14:paraId="5A7491C1">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78F7BFBD">
            <w:pPr>
              <w:widowControl/>
              <w:jc w:val="center"/>
              <w:rPr>
                <w:rFonts w:ascii="宋体" w:hAnsi="宋体" w:cs="宋体"/>
                <w:color w:val="auto"/>
                <w:kern w:val="0"/>
                <w:sz w:val="21"/>
                <w:szCs w:val="21"/>
              </w:rPr>
            </w:pPr>
            <w:r>
              <w:rPr>
                <w:rFonts w:hint="eastAsia" w:ascii="宋体" w:hAnsi="宋体" w:cs="宋体"/>
                <w:color w:val="auto"/>
                <w:kern w:val="0"/>
                <w:sz w:val="21"/>
                <w:szCs w:val="21"/>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714A0C44">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6DB68039">
            <w:pPr>
              <w:widowControl/>
              <w:jc w:val="center"/>
              <w:rPr>
                <w:rFonts w:ascii="宋体" w:hAnsi="宋体" w:cs="宋体"/>
                <w:color w:val="auto"/>
                <w:kern w:val="0"/>
                <w:sz w:val="21"/>
                <w:szCs w:val="21"/>
              </w:rPr>
            </w:pPr>
            <w:r>
              <w:rPr>
                <w:rFonts w:hint="eastAsia" w:ascii="宋体" w:hAnsi="宋体" w:cs="宋体"/>
                <w:color w:val="auto"/>
                <w:kern w:val="0"/>
                <w:sz w:val="21"/>
                <w:szCs w:val="21"/>
              </w:rPr>
              <w:t>出生日期</w:t>
            </w:r>
          </w:p>
        </w:tc>
        <w:tc>
          <w:tcPr>
            <w:tcW w:w="1559" w:type="dxa"/>
            <w:tcBorders>
              <w:top w:val="nil"/>
              <w:left w:val="nil"/>
              <w:bottom w:val="single" w:color="auto" w:sz="4" w:space="0"/>
              <w:right w:val="single" w:color="auto" w:sz="4" w:space="0"/>
            </w:tcBorders>
            <w:shd w:val="clear" w:color="auto" w:fill="auto"/>
            <w:vAlign w:val="center"/>
          </w:tcPr>
          <w:p w14:paraId="11312AC9">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63FC3DB8">
            <w:pPr>
              <w:widowControl/>
              <w:jc w:val="left"/>
              <w:rPr>
                <w:rFonts w:ascii="宋体" w:hAnsi="宋体" w:cs="宋体"/>
                <w:color w:val="auto"/>
                <w:kern w:val="0"/>
                <w:sz w:val="21"/>
                <w:szCs w:val="21"/>
              </w:rPr>
            </w:pPr>
          </w:p>
        </w:tc>
      </w:tr>
      <w:tr w14:paraId="697723E1">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0F4AC1D0">
            <w:pPr>
              <w:widowControl/>
              <w:jc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14:paraId="73194B99">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4FBAC7D6">
            <w:pPr>
              <w:widowControl/>
              <w:jc w:val="center"/>
              <w:rPr>
                <w:rFonts w:ascii="宋体" w:hAnsi="宋体" w:cs="宋体"/>
                <w:color w:val="auto"/>
                <w:kern w:val="0"/>
                <w:sz w:val="21"/>
                <w:szCs w:val="21"/>
              </w:rPr>
            </w:pPr>
            <w:r>
              <w:rPr>
                <w:rFonts w:hint="eastAsia" w:ascii="宋体" w:hAnsi="宋体" w:cs="宋体"/>
                <w:color w:val="auto"/>
                <w:kern w:val="0"/>
                <w:sz w:val="21"/>
                <w:szCs w:val="21"/>
              </w:rPr>
              <w:t>电子邮箱</w:t>
            </w:r>
          </w:p>
        </w:tc>
        <w:tc>
          <w:tcPr>
            <w:tcW w:w="3519" w:type="dxa"/>
            <w:gridSpan w:val="2"/>
            <w:tcBorders>
              <w:top w:val="single" w:color="auto" w:sz="4" w:space="0"/>
              <w:left w:val="nil"/>
              <w:bottom w:val="single" w:color="auto" w:sz="4" w:space="0"/>
              <w:right w:val="single" w:color="000000" w:sz="4" w:space="0"/>
            </w:tcBorders>
            <w:shd w:val="clear" w:color="auto" w:fill="auto"/>
            <w:vAlign w:val="center"/>
          </w:tcPr>
          <w:p w14:paraId="0600CAAC">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4D09AB20">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3C6A1CC9">
            <w:pPr>
              <w:widowControl/>
              <w:jc w:val="center"/>
              <w:rPr>
                <w:rFonts w:ascii="宋体" w:hAnsi="宋体" w:cs="宋体"/>
                <w:color w:val="auto"/>
                <w:kern w:val="0"/>
                <w:sz w:val="21"/>
                <w:szCs w:val="21"/>
              </w:rPr>
            </w:pPr>
            <w:r>
              <w:rPr>
                <w:rFonts w:hint="eastAsia" w:ascii="宋体" w:hAnsi="宋体" w:cs="宋体"/>
                <w:color w:val="auto"/>
                <w:kern w:val="0"/>
                <w:sz w:val="21"/>
                <w:szCs w:val="21"/>
              </w:rPr>
              <w:t>全日制教育</w:t>
            </w:r>
          </w:p>
        </w:tc>
        <w:tc>
          <w:tcPr>
            <w:tcW w:w="1300" w:type="dxa"/>
            <w:tcBorders>
              <w:top w:val="nil"/>
              <w:left w:val="nil"/>
              <w:bottom w:val="single" w:color="auto" w:sz="4" w:space="0"/>
              <w:right w:val="single" w:color="auto" w:sz="4" w:space="0"/>
            </w:tcBorders>
            <w:shd w:val="clear" w:color="auto" w:fill="auto"/>
            <w:vAlign w:val="center"/>
          </w:tcPr>
          <w:p w14:paraId="790F543A">
            <w:pPr>
              <w:widowControl/>
              <w:jc w:val="center"/>
              <w:rPr>
                <w:rFonts w:ascii="宋体" w:hAnsi="宋体" w:cs="宋体"/>
                <w:color w:val="auto"/>
                <w:kern w:val="0"/>
                <w:sz w:val="21"/>
                <w:szCs w:val="21"/>
              </w:rPr>
            </w:pPr>
            <w:r>
              <w:rPr>
                <w:rFonts w:hint="eastAsia" w:ascii="宋体" w:hAnsi="宋体" w:cs="宋体"/>
                <w:color w:val="auto"/>
                <w:kern w:val="0"/>
                <w:sz w:val="21"/>
                <w:szCs w:val="21"/>
              </w:rPr>
              <w:t>学历</w:t>
            </w:r>
          </w:p>
        </w:tc>
        <w:tc>
          <w:tcPr>
            <w:tcW w:w="1880" w:type="dxa"/>
            <w:tcBorders>
              <w:top w:val="nil"/>
              <w:left w:val="nil"/>
              <w:bottom w:val="single" w:color="auto" w:sz="4" w:space="0"/>
              <w:right w:val="single" w:color="auto" w:sz="4" w:space="0"/>
            </w:tcBorders>
            <w:shd w:val="clear" w:color="auto" w:fill="auto"/>
            <w:vAlign w:val="center"/>
          </w:tcPr>
          <w:p w14:paraId="5A39592F">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4F3B0966">
            <w:pPr>
              <w:widowControl/>
              <w:jc w:val="left"/>
              <w:rPr>
                <w:rFonts w:ascii="宋体" w:hAnsi="宋体" w:cs="宋体"/>
                <w:color w:val="auto"/>
                <w:kern w:val="0"/>
                <w:sz w:val="21"/>
                <w:szCs w:val="21"/>
              </w:rPr>
            </w:pPr>
            <w:r>
              <w:rPr>
                <w:rFonts w:hint="eastAsia" w:ascii="宋体" w:hAnsi="宋体" w:cs="宋体"/>
                <w:color w:val="auto"/>
                <w:kern w:val="0"/>
                <w:sz w:val="21"/>
                <w:szCs w:val="21"/>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FAC49D">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1E2D4556">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641FD039">
            <w:pPr>
              <w:widowControl/>
              <w:jc w:val="left"/>
              <w:rPr>
                <w:rFonts w:ascii="宋体" w:hAnsi="宋体" w:cs="宋体"/>
                <w:color w:val="auto"/>
                <w:kern w:val="0"/>
                <w:sz w:val="21"/>
                <w:szCs w:val="21"/>
              </w:rPr>
            </w:pPr>
          </w:p>
        </w:tc>
        <w:tc>
          <w:tcPr>
            <w:tcW w:w="1300" w:type="dxa"/>
            <w:tcBorders>
              <w:top w:val="nil"/>
              <w:left w:val="nil"/>
              <w:bottom w:val="single" w:color="auto" w:sz="4" w:space="0"/>
              <w:right w:val="single" w:color="auto" w:sz="4" w:space="0"/>
            </w:tcBorders>
            <w:shd w:val="clear" w:color="auto" w:fill="auto"/>
            <w:vAlign w:val="center"/>
          </w:tcPr>
          <w:p w14:paraId="6923F832">
            <w:pPr>
              <w:widowControl/>
              <w:jc w:val="center"/>
              <w:rPr>
                <w:rFonts w:ascii="宋体" w:hAnsi="宋体" w:cs="宋体"/>
                <w:color w:val="auto"/>
                <w:kern w:val="0"/>
                <w:sz w:val="21"/>
                <w:szCs w:val="21"/>
              </w:rPr>
            </w:pPr>
            <w:r>
              <w:rPr>
                <w:rFonts w:hint="eastAsia" w:ascii="宋体" w:hAnsi="宋体" w:cs="宋体"/>
                <w:color w:val="auto"/>
                <w:kern w:val="0"/>
                <w:sz w:val="21"/>
                <w:szCs w:val="21"/>
              </w:rPr>
              <w:t>学位</w:t>
            </w:r>
          </w:p>
        </w:tc>
        <w:tc>
          <w:tcPr>
            <w:tcW w:w="1880" w:type="dxa"/>
            <w:tcBorders>
              <w:top w:val="nil"/>
              <w:left w:val="nil"/>
              <w:bottom w:val="single" w:color="auto" w:sz="4" w:space="0"/>
              <w:right w:val="single" w:color="auto" w:sz="4" w:space="0"/>
            </w:tcBorders>
            <w:shd w:val="clear" w:color="auto" w:fill="auto"/>
            <w:vAlign w:val="center"/>
          </w:tcPr>
          <w:p w14:paraId="024D161F">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vMerge w:val="continue"/>
            <w:tcBorders>
              <w:top w:val="nil"/>
              <w:left w:val="single" w:color="auto" w:sz="4" w:space="0"/>
              <w:bottom w:val="single" w:color="auto" w:sz="4" w:space="0"/>
              <w:right w:val="single" w:color="auto" w:sz="4" w:space="0"/>
            </w:tcBorders>
            <w:vAlign w:val="center"/>
          </w:tcPr>
          <w:p w14:paraId="250C0EC8">
            <w:pPr>
              <w:widowControl/>
              <w:jc w:val="left"/>
              <w:rPr>
                <w:rFonts w:ascii="宋体" w:hAnsi="宋体" w:cs="宋体"/>
                <w:color w:val="auto"/>
                <w:kern w:val="0"/>
                <w:sz w:val="21"/>
                <w:szCs w:val="21"/>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4789D72A">
            <w:pPr>
              <w:widowControl/>
              <w:jc w:val="left"/>
              <w:rPr>
                <w:rFonts w:ascii="宋体" w:hAnsi="宋体" w:cs="宋体"/>
                <w:color w:val="auto"/>
                <w:kern w:val="0"/>
                <w:sz w:val="21"/>
                <w:szCs w:val="21"/>
              </w:rPr>
            </w:pPr>
          </w:p>
        </w:tc>
      </w:tr>
      <w:tr w14:paraId="44CB2213">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7D075554">
            <w:pPr>
              <w:widowControl/>
              <w:jc w:val="center"/>
              <w:rPr>
                <w:rFonts w:ascii="宋体" w:hAnsi="宋体" w:cs="宋体"/>
                <w:color w:val="auto"/>
                <w:kern w:val="0"/>
                <w:sz w:val="21"/>
                <w:szCs w:val="21"/>
              </w:rPr>
            </w:pPr>
            <w:r>
              <w:rPr>
                <w:rFonts w:hint="eastAsia" w:ascii="宋体" w:hAnsi="宋体" w:cs="宋体"/>
                <w:color w:val="auto"/>
                <w:kern w:val="0"/>
                <w:sz w:val="21"/>
                <w:szCs w:val="21"/>
              </w:rPr>
              <w:t>在职教育</w:t>
            </w:r>
          </w:p>
        </w:tc>
        <w:tc>
          <w:tcPr>
            <w:tcW w:w="1300" w:type="dxa"/>
            <w:tcBorders>
              <w:top w:val="nil"/>
              <w:left w:val="nil"/>
              <w:bottom w:val="single" w:color="auto" w:sz="4" w:space="0"/>
              <w:right w:val="single" w:color="auto" w:sz="4" w:space="0"/>
            </w:tcBorders>
            <w:shd w:val="clear" w:color="auto" w:fill="auto"/>
            <w:vAlign w:val="center"/>
          </w:tcPr>
          <w:p w14:paraId="7989DCCB">
            <w:pPr>
              <w:widowControl/>
              <w:jc w:val="center"/>
              <w:rPr>
                <w:rFonts w:ascii="宋体" w:hAnsi="宋体" w:cs="宋体"/>
                <w:color w:val="auto"/>
                <w:kern w:val="0"/>
                <w:sz w:val="21"/>
                <w:szCs w:val="21"/>
              </w:rPr>
            </w:pPr>
            <w:r>
              <w:rPr>
                <w:rFonts w:hint="eastAsia" w:ascii="宋体" w:hAnsi="宋体" w:cs="宋体"/>
                <w:color w:val="auto"/>
                <w:kern w:val="0"/>
                <w:sz w:val="21"/>
                <w:szCs w:val="21"/>
              </w:rPr>
              <w:t>学历</w:t>
            </w:r>
          </w:p>
        </w:tc>
        <w:tc>
          <w:tcPr>
            <w:tcW w:w="1880" w:type="dxa"/>
            <w:tcBorders>
              <w:top w:val="nil"/>
              <w:left w:val="nil"/>
              <w:bottom w:val="single" w:color="auto" w:sz="4" w:space="0"/>
              <w:right w:val="single" w:color="auto" w:sz="4" w:space="0"/>
            </w:tcBorders>
            <w:shd w:val="clear" w:color="auto" w:fill="auto"/>
            <w:vAlign w:val="center"/>
          </w:tcPr>
          <w:p w14:paraId="29DDB8F9">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4EC40DE3">
            <w:pPr>
              <w:widowControl/>
              <w:jc w:val="left"/>
              <w:rPr>
                <w:rFonts w:ascii="宋体" w:hAnsi="宋体" w:cs="宋体"/>
                <w:color w:val="auto"/>
                <w:kern w:val="0"/>
                <w:sz w:val="21"/>
                <w:szCs w:val="21"/>
              </w:rPr>
            </w:pPr>
            <w:r>
              <w:rPr>
                <w:rFonts w:hint="eastAsia" w:ascii="宋体" w:hAnsi="宋体" w:cs="宋体"/>
                <w:color w:val="auto"/>
                <w:kern w:val="0"/>
                <w:sz w:val="21"/>
                <w:szCs w:val="21"/>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CF31DA">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231EF240">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15DD87A5">
            <w:pPr>
              <w:widowControl/>
              <w:jc w:val="left"/>
              <w:rPr>
                <w:rFonts w:ascii="宋体" w:hAnsi="宋体" w:cs="宋体"/>
                <w:color w:val="auto"/>
                <w:kern w:val="0"/>
                <w:sz w:val="21"/>
                <w:szCs w:val="21"/>
              </w:rPr>
            </w:pPr>
          </w:p>
        </w:tc>
        <w:tc>
          <w:tcPr>
            <w:tcW w:w="1300" w:type="dxa"/>
            <w:tcBorders>
              <w:top w:val="nil"/>
              <w:left w:val="nil"/>
              <w:bottom w:val="single" w:color="auto" w:sz="4" w:space="0"/>
              <w:right w:val="single" w:color="auto" w:sz="4" w:space="0"/>
            </w:tcBorders>
            <w:shd w:val="clear" w:color="auto" w:fill="auto"/>
            <w:vAlign w:val="center"/>
          </w:tcPr>
          <w:p w14:paraId="67097224">
            <w:pPr>
              <w:widowControl/>
              <w:jc w:val="center"/>
              <w:rPr>
                <w:rFonts w:ascii="宋体" w:hAnsi="宋体" w:cs="宋体"/>
                <w:color w:val="auto"/>
                <w:kern w:val="0"/>
                <w:sz w:val="21"/>
                <w:szCs w:val="21"/>
              </w:rPr>
            </w:pPr>
            <w:r>
              <w:rPr>
                <w:rFonts w:hint="eastAsia" w:ascii="宋体" w:hAnsi="宋体" w:cs="宋体"/>
                <w:color w:val="auto"/>
                <w:kern w:val="0"/>
                <w:sz w:val="21"/>
                <w:szCs w:val="21"/>
              </w:rPr>
              <w:t>学位</w:t>
            </w:r>
          </w:p>
        </w:tc>
        <w:tc>
          <w:tcPr>
            <w:tcW w:w="1880" w:type="dxa"/>
            <w:tcBorders>
              <w:top w:val="nil"/>
              <w:left w:val="nil"/>
              <w:bottom w:val="single" w:color="auto" w:sz="4" w:space="0"/>
              <w:right w:val="single" w:color="auto" w:sz="4" w:space="0"/>
            </w:tcBorders>
            <w:shd w:val="clear" w:color="auto" w:fill="auto"/>
            <w:vAlign w:val="center"/>
          </w:tcPr>
          <w:p w14:paraId="01C58393">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vMerge w:val="continue"/>
            <w:tcBorders>
              <w:top w:val="nil"/>
              <w:left w:val="single" w:color="auto" w:sz="4" w:space="0"/>
              <w:bottom w:val="single" w:color="auto" w:sz="4" w:space="0"/>
              <w:right w:val="single" w:color="auto" w:sz="4" w:space="0"/>
            </w:tcBorders>
            <w:vAlign w:val="center"/>
          </w:tcPr>
          <w:p w14:paraId="2A2A1E5D">
            <w:pPr>
              <w:widowControl/>
              <w:jc w:val="left"/>
              <w:rPr>
                <w:rFonts w:ascii="宋体" w:hAnsi="宋体" w:cs="宋体"/>
                <w:color w:val="auto"/>
                <w:kern w:val="0"/>
                <w:sz w:val="21"/>
                <w:szCs w:val="21"/>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233128E6">
            <w:pPr>
              <w:widowControl/>
              <w:jc w:val="left"/>
              <w:rPr>
                <w:rFonts w:ascii="宋体" w:hAnsi="宋体" w:cs="宋体"/>
                <w:color w:val="auto"/>
                <w:kern w:val="0"/>
                <w:sz w:val="21"/>
                <w:szCs w:val="21"/>
              </w:rPr>
            </w:pPr>
          </w:p>
        </w:tc>
      </w:tr>
      <w:tr w14:paraId="7FE42C8F">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48BD7D44">
            <w:pPr>
              <w:widowControl/>
              <w:jc w:val="center"/>
              <w:rPr>
                <w:rFonts w:ascii="宋体" w:hAnsi="宋体" w:cs="宋体"/>
                <w:color w:val="auto"/>
                <w:kern w:val="0"/>
                <w:sz w:val="21"/>
                <w:szCs w:val="21"/>
              </w:rPr>
            </w:pPr>
            <w:r>
              <w:rPr>
                <w:rFonts w:hint="eastAsia" w:ascii="宋体" w:hAnsi="宋体" w:cs="宋体"/>
                <w:color w:val="auto"/>
                <w:kern w:val="0"/>
                <w:sz w:val="21"/>
                <w:szCs w:val="21"/>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52209E73">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40E57EDE">
            <w:pPr>
              <w:widowControl/>
              <w:jc w:val="center"/>
              <w:rPr>
                <w:rFonts w:ascii="宋体" w:hAnsi="宋体" w:cs="宋体"/>
                <w:color w:val="auto"/>
                <w:kern w:val="0"/>
                <w:sz w:val="21"/>
                <w:szCs w:val="21"/>
              </w:rPr>
            </w:pPr>
            <w:r>
              <w:rPr>
                <w:rFonts w:hint="eastAsia" w:ascii="宋体" w:hAnsi="宋体" w:cs="宋体"/>
                <w:color w:val="auto"/>
                <w:kern w:val="0"/>
                <w:sz w:val="21"/>
                <w:szCs w:val="21"/>
              </w:rPr>
              <w:t>资格级别</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2A567E22">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4E2175BF">
        <w:tblPrEx>
          <w:tblCellMar>
            <w:top w:w="0" w:type="dxa"/>
            <w:left w:w="108" w:type="dxa"/>
            <w:bottom w:w="0" w:type="dxa"/>
            <w:right w:w="108" w:type="dxa"/>
          </w:tblCellMar>
        </w:tblPrEx>
        <w:trPr>
          <w:trHeight w:val="534"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09FFEB54">
            <w:pPr>
              <w:widowControl/>
              <w:jc w:val="center"/>
              <w:rPr>
                <w:rFonts w:ascii="宋体" w:hAnsi="宋体" w:cs="宋体"/>
                <w:color w:val="auto"/>
                <w:kern w:val="0"/>
                <w:sz w:val="21"/>
                <w:szCs w:val="21"/>
              </w:rPr>
            </w:pPr>
            <w:r>
              <w:rPr>
                <w:rFonts w:hint="eastAsia" w:ascii="宋体" w:hAnsi="宋体" w:cs="宋体"/>
                <w:color w:val="auto"/>
                <w:kern w:val="0"/>
                <w:sz w:val="21"/>
                <w:szCs w:val="21"/>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5C92F774">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62F61AC2">
            <w:pPr>
              <w:widowControl/>
              <w:jc w:val="center"/>
              <w:rPr>
                <w:rFonts w:ascii="宋体" w:hAnsi="宋体" w:cs="宋体"/>
                <w:color w:val="auto"/>
                <w:kern w:val="0"/>
                <w:sz w:val="21"/>
                <w:szCs w:val="21"/>
              </w:rPr>
            </w:pPr>
            <w:r>
              <w:rPr>
                <w:rFonts w:hint="eastAsia" w:ascii="宋体" w:hAnsi="宋体" w:cs="宋体"/>
                <w:color w:val="auto"/>
                <w:kern w:val="0"/>
                <w:sz w:val="21"/>
                <w:szCs w:val="21"/>
              </w:rPr>
              <w:t>现工作单位</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72B661D4">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66F2D324">
        <w:tblPrEx>
          <w:tblCellMar>
            <w:top w:w="0" w:type="dxa"/>
            <w:left w:w="108" w:type="dxa"/>
            <w:bottom w:w="0" w:type="dxa"/>
            <w:right w:w="108" w:type="dxa"/>
          </w:tblCellMar>
        </w:tblPrEx>
        <w:trPr>
          <w:trHeight w:val="459"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30C5B5A4">
            <w:pPr>
              <w:widowControl/>
              <w:jc w:val="center"/>
              <w:rPr>
                <w:rFonts w:ascii="宋体" w:hAnsi="宋体" w:cs="宋体"/>
                <w:color w:val="auto"/>
                <w:kern w:val="0"/>
                <w:sz w:val="21"/>
                <w:szCs w:val="21"/>
              </w:rPr>
            </w:pPr>
            <w:r>
              <w:rPr>
                <w:rFonts w:hint="eastAsia" w:ascii="宋体" w:hAnsi="宋体" w:cs="宋体"/>
                <w:color w:val="auto"/>
                <w:kern w:val="0"/>
                <w:sz w:val="21"/>
                <w:szCs w:val="21"/>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14:paraId="071FE191">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0797A35B">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780AF5F7">
            <w:pPr>
              <w:widowControl/>
              <w:jc w:val="center"/>
              <w:rPr>
                <w:rFonts w:ascii="宋体" w:hAnsi="宋体" w:cs="宋体"/>
                <w:color w:val="auto"/>
                <w:kern w:val="0"/>
                <w:sz w:val="21"/>
                <w:szCs w:val="21"/>
              </w:rPr>
            </w:pPr>
            <w:r>
              <w:rPr>
                <w:rFonts w:hint="eastAsia" w:ascii="宋体" w:hAnsi="宋体" w:cs="宋体"/>
                <w:color w:val="auto"/>
                <w:kern w:val="0"/>
                <w:sz w:val="21"/>
                <w:szCs w:val="21"/>
              </w:rPr>
              <w:t>简历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14:paraId="5B4505E6">
            <w:pPr>
              <w:widowControl/>
              <w:jc w:val="left"/>
              <w:rPr>
                <w:rFonts w:ascii="宋体" w:hAnsi="宋体" w:cs="宋体"/>
                <w:color w:val="auto"/>
                <w:kern w:val="0"/>
                <w:sz w:val="21"/>
                <w:szCs w:val="21"/>
              </w:rPr>
            </w:pPr>
          </w:p>
        </w:tc>
      </w:tr>
      <w:tr w14:paraId="038A5167">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90A0A3">
            <w:pPr>
              <w:widowControl/>
              <w:jc w:val="left"/>
              <w:rPr>
                <w:rFonts w:ascii="宋体" w:hAnsi="宋体" w:cs="宋体"/>
                <w:color w:val="auto"/>
                <w:kern w:val="0"/>
                <w:sz w:val="21"/>
                <w:szCs w:val="21"/>
              </w:rPr>
            </w:pPr>
            <w:r>
              <w:rPr>
                <w:rFonts w:hint="eastAsia" w:ascii="宋体" w:hAnsi="宋体" w:cs="宋体"/>
                <w:color w:val="auto"/>
                <w:kern w:val="0"/>
                <w:sz w:val="21"/>
                <w:szCs w:val="21"/>
              </w:rPr>
              <w:t>本人承诺：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我承诺，以上信息真实正确，本人符合报名岗位引进条件，若有弄虚作假行为，自愿放弃引进资格。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承诺人签字：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年    月     日</w:t>
            </w:r>
          </w:p>
        </w:tc>
        <w:tc>
          <w:tcPr>
            <w:tcW w:w="1621" w:type="dxa"/>
            <w:tcBorders>
              <w:top w:val="nil"/>
              <w:left w:val="nil"/>
              <w:bottom w:val="single" w:color="auto" w:sz="4" w:space="0"/>
              <w:right w:val="single" w:color="auto" w:sz="4" w:space="0"/>
            </w:tcBorders>
            <w:shd w:val="clear" w:color="auto" w:fill="auto"/>
            <w:vAlign w:val="center"/>
          </w:tcPr>
          <w:p w14:paraId="52FE9AE9">
            <w:pPr>
              <w:widowControl/>
              <w:jc w:val="center"/>
              <w:rPr>
                <w:rFonts w:ascii="宋体" w:hAnsi="宋体" w:cs="宋体"/>
                <w:color w:val="auto"/>
                <w:kern w:val="0"/>
                <w:sz w:val="21"/>
                <w:szCs w:val="21"/>
              </w:rPr>
            </w:pPr>
            <w:r>
              <w:rPr>
                <w:rFonts w:hint="eastAsia" w:ascii="宋体" w:hAnsi="宋体" w:cs="宋体"/>
                <w:color w:val="auto"/>
                <w:kern w:val="0"/>
                <w:sz w:val="21"/>
                <w:szCs w:val="21"/>
              </w:rPr>
              <w:t>单位审核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意见</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134498FE">
            <w:pPr>
              <w:widowControl/>
              <w:jc w:val="left"/>
              <w:rPr>
                <w:rFonts w:ascii="宋体" w:hAnsi="宋体" w:cs="宋体"/>
                <w:color w:val="auto"/>
                <w:kern w:val="0"/>
                <w:sz w:val="21"/>
                <w:szCs w:val="21"/>
              </w:rPr>
            </w:pPr>
            <w:r>
              <w:rPr>
                <w:rFonts w:hint="eastAsia" w:ascii="宋体" w:hAnsi="宋体" w:cs="宋体"/>
                <w:color w:val="auto"/>
                <w:kern w:val="0"/>
                <w:sz w:val="21"/>
                <w:szCs w:val="21"/>
              </w:rPr>
              <w:t xml:space="preserve">审核人签字： </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（单位盖章）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年      月      日</w:t>
            </w:r>
          </w:p>
        </w:tc>
      </w:tr>
    </w:tbl>
    <w:p w14:paraId="69BCB796">
      <w:pPr>
        <w:widowControl/>
        <w:jc w:val="left"/>
        <w:rPr>
          <w:rFonts w:hint="eastAsia" w:ascii="宋体" w:hAnsi="宋体" w:cs="宋体"/>
          <w:b/>
          <w:bCs/>
          <w:color w:val="auto"/>
          <w:kern w:val="0"/>
          <w:sz w:val="32"/>
          <w:szCs w:val="32"/>
        </w:rPr>
      </w:pPr>
    </w:p>
    <w:p w14:paraId="4CE60269">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14:paraId="70D4D8DB">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14:paraId="492EA417">
      <w:pPr>
        <w:spacing w:line="600" w:lineRule="exact"/>
        <w:jc w:val="center"/>
        <w:rPr>
          <w:rFonts w:ascii="黑体" w:hAnsi="黑体" w:eastAsia="黑体" w:cs="黑体"/>
          <w:color w:val="auto"/>
          <w:sz w:val="44"/>
          <w:szCs w:val="44"/>
        </w:rPr>
      </w:pPr>
    </w:p>
    <w:p w14:paraId="73693ECE">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14:paraId="790F379D">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14:paraId="1CCBF86C">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14:paraId="18AA4DB1">
      <w:pPr>
        <w:spacing w:line="560" w:lineRule="exact"/>
        <w:ind w:firstLine="646" w:firstLineChars="202"/>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（3）因犯罪受过刑事处罚的；</w:t>
      </w:r>
      <w:r>
        <w:rPr>
          <w:rFonts w:hint="eastAsia" w:ascii="仿宋_GB2312" w:hAnsi="仿宋_GB2312" w:eastAsia="仿宋_GB2312" w:cs="仿宋_GB2312"/>
          <w:color w:val="auto"/>
          <w:sz w:val="32"/>
          <w:szCs w:val="32"/>
          <w:u w:val="none"/>
          <w:lang w:val="en-US" w:eastAsia="zh-CN"/>
        </w:rPr>
        <w:t>因违法违纪受过行政处罚、党政纪处分的；</w:t>
      </w:r>
      <w:r>
        <w:rPr>
          <w:rFonts w:hint="eastAsia" w:ascii="仿宋_GB2312" w:hAnsi="仿宋_GB2312" w:eastAsia="仿宋_GB2312" w:cs="仿宋_GB2312"/>
          <w:color w:val="auto"/>
          <w:sz w:val="32"/>
          <w:szCs w:val="32"/>
          <w:u w:val="none"/>
        </w:rPr>
        <w:t>被开除中国共产党党籍和公职；在立案审查期间或在党纪、政务处分影响期内的；被开除公职的人员;被依法列为失信联合惩戒对象的人员;</w:t>
      </w:r>
      <w:r>
        <w:rPr>
          <w:rFonts w:hint="eastAsia" w:ascii="仿宋_GB2312" w:hAnsi="仿宋_GB2312" w:eastAsia="仿宋_GB2312" w:cs="仿宋_GB2312"/>
          <w:color w:val="auto"/>
          <w:sz w:val="32"/>
          <w:szCs w:val="32"/>
          <w:u w:val="none"/>
          <w:lang w:val="en-US" w:eastAsia="zh-CN"/>
        </w:rPr>
        <w:t>隐瞒个人重要信息，欺骗或误导组织的；</w:t>
      </w:r>
    </w:p>
    <w:p w14:paraId="4BD2E5B2">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14:paraId="6568C8B8">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14:paraId="7B710229">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14:paraId="7771F640">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14:paraId="3D379CA8">
      <w:pPr>
        <w:spacing w:line="600" w:lineRule="exact"/>
        <w:ind w:firstLine="640" w:firstLineChars="200"/>
        <w:rPr>
          <w:rFonts w:ascii="仿宋_GB2312" w:hAnsi="仿宋_GB2312" w:eastAsia="仿宋_GB2312" w:cs="仿宋_GB2312"/>
          <w:color w:val="auto"/>
          <w:sz w:val="32"/>
          <w:szCs w:val="32"/>
        </w:rPr>
      </w:pPr>
    </w:p>
    <w:p w14:paraId="09E9D190">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承诺人(签字)：</w:t>
      </w:r>
    </w:p>
    <w:p w14:paraId="2A7EDB80">
      <w:pPr>
        <w:ind w:firstLine="5280" w:firstLineChars="1650"/>
        <w:rPr>
          <w:rFonts w:hint="eastAsia" w:ascii="仿宋_GB2312" w:hAnsi="仿宋_GB2312" w:eastAsia="仿宋_GB2312" w:cs="仿宋_GB2312"/>
          <w:color w:val="auto"/>
          <w:sz w:val="32"/>
          <w:szCs w:val="32"/>
        </w:rPr>
      </w:pPr>
    </w:p>
    <w:p w14:paraId="1412681F">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43B41C40">
      <w:pPr>
        <w:rPr>
          <w:color w:val="auto"/>
        </w:rPr>
      </w:pPr>
    </w:p>
    <w:p w14:paraId="7DD32D5B">
      <w:pPr>
        <w:pStyle w:val="4"/>
        <w:ind w:left="420"/>
        <w:rPr>
          <w:color w:val="auto"/>
        </w:rPr>
      </w:pPr>
    </w:p>
    <w:p w14:paraId="02660C0A">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14:paraId="556D05FB">
      <w:pPr>
        <w:spacing w:line="560" w:lineRule="exact"/>
        <w:rPr>
          <w:b/>
          <w:color w:val="auto"/>
          <w:sz w:val="44"/>
          <w:szCs w:val="44"/>
        </w:rPr>
      </w:pPr>
    </w:p>
    <w:p w14:paraId="5B7A874A">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14:paraId="5C7BA9E9">
      <w:pPr>
        <w:spacing w:line="560" w:lineRule="exact"/>
        <w:rPr>
          <w:color w:val="auto"/>
          <w:sz w:val="32"/>
          <w:szCs w:val="32"/>
        </w:rPr>
      </w:pPr>
    </w:p>
    <w:p w14:paraId="5D070B49">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w:t>
      </w:r>
      <w:r>
        <w:rPr>
          <w:rFonts w:hint="eastAsia" w:ascii="仿宋" w:hAnsi="仿宋" w:eastAsia="仿宋"/>
          <w:sz w:val="32"/>
          <w:szCs w:val="32"/>
          <w:highlight w:val="none"/>
        </w:rPr>
        <w:t>满洲里</w:t>
      </w:r>
      <w:r>
        <w:rPr>
          <w:rFonts w:hint="eastAsia" w:ascii="仿宋_GB2312" w:hAnsi="仿宋" w:eastAsia="仿宋_GB2312"/>
          <w:sz w:val="32"/>
          <w:szCs w:val="32"/>
        </w:rPr>
        <w:t>综合保税区管理委员会</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14:paraId="5F039FE9">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14:paraId="2AEB56CE">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14:paraId="75E45BBD">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14:paraId="6EC525B1">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14:paraId="1865EE44">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14:paraId="280DA153">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14:paraId="35EED854">
      <w:pPr>
        <w:spacing w:line="560" w:lineRule="exact"/>
        <w:rPr>
          <w:rFonts w:ascii="仿宋_GB2312" w:hAnsi="仿宋_GB2312" w:eastAsia="仿宋_GB2312" w:cs="仿宋_GB2312"/>
          <w:color w:val="auto"/>
          <w:sz w:val="32"/>
          <w:szCs w:val="32"/>
        </w:rPr>
      </w:pPr>
    </w:p>
    <w:p w14:paraId="3EDD7836">
      <w:pPr>
        <w:pStyle w:val="4"/>
        <w:ind w:left="420"/>
        <w:rPr>
          <w:color w:val="auto"/>
        </w:rPr>
      </w:pPr>
    </w:p>
    <w:p w14:paraId="42CEE9A0">
      <w:pPr>
        <w:rPr>
          <w:color w:val="auto"/>
        </w:rPr>
      </w:pPr>
    </w:p>
    <w:p w14:paraId="65B35ABD">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14:paraId="5527C23A">
      <w:pPr>
        <w:rPr>
          <w:rFonts w:ascii="仿宋_GB2312" w:hAnsi="仿宋_GB2312" w:eastAsia="仿宋_GB2312" w:cs="仿宋_GB2312"/>
          <w:color w:val="auto"/>
          <w:sz w:val="32"/>
          <w:szCs w:val="32"/>
        </w:rPr>
      </w:pPr>
    </w:p>
    <w:p w14:paraId="6FF69853">
      <w:pPr>
        <w:ind w:firstLine="5280" w:firstLineChars="1650"/>
        <w:rPr>
          <w:color w:val="auto"/>
        </w:rPr>
      </w:pPr>
      <w:r>
        <w:rPr>
          <w:rFonts w:hint="eastAsia" w:ascii="仿宋_GB2312" w:hAnsi="仿宋_GB2312" w:eastAsia="仿宋_GB2312" w:cs="仿宋_GB2312"/>
          <w:color w:val="auto"/>
          <w:sz w:val="32"/>
          <w:szCs w:val="32"/>
        </w:rPr>
        <w:t>年   月   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14:paraId="2AED2487">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14:paraId="526833D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941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3D6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WFkOTk3OTVkOWRjMDNlMWE3NDNjMDg2MzcyZGYifQ=="/>
  </w:docVars>
  <w:rsids>
    <w:rsidRoot w:val="55F16F36"/>
    <w:rsid w:val="01067C6D"/>
    <w:rsid w:val="01BD7A4F"/>
    <w:rsid w:val="01CC7CF9"/>
    <w:rsid w:val="01F36FCC"/>
    <w:rsid w:val="01FD2D02"/>
    <w:rsid w:val="02AD2556"/>
    <w:rsid w:val="02C40969"/>
    <w:rsid w:val="03550B76"/>
    <w:rsid w:val="03DE35EF"/>
    <w:rsid w:val="0414147C"/>
    <w:rsid w:val="04455AD9"/>
    <w:rsid w:val="0484270C"/>
    <w:rsid w:val="051048C1"/>
    <w:rsid w:val="05C313AC"/>
    <w:rsid w:val="05DA1CAE"/>
    <w:rsid w:val="063672F8"/>
    <w:rsid w:val="06E2664A"/>
    <w:rsid w:val="078A2181"/>
    <w:rsid w:val="07E01340"/>
    <w:rsid w:val="07F12200"/>
    <w:rsid w:val="08233C21"/>
    <w:rsid w:val="08305436"/>
    <w:rsid w:val="08674142"/>
    <w:rsid w:val="08AC25CB"/>
    <w:rsid w:val="08C6543B"/>
    <w:rsid w:val="09B278C7"/>
    <w:rsid w:val="09BC4A90"/>
    <w:rsid w:val="0A1B7A08"/>
    <w:rsid w:val="0A430D0D"/>
    <w:rsid w:val="0AD90C53"/>
    <w:rsid w:val="0B5331D2"/>
    <w:rsid w:val="0B675BF5"/>
    <w:rsid w:val="0B892750"/>
    <w:rsid w:val="0B9F01C5"/>
    <w:rsid w:val="0BA17A99"/>
    <w:rsid w:val="0BC8771C"/>
    <w:rsid w:val="0C1577EC"/>
    <w:rsid w:val="0C4072B2"/>
    <w:rsid w:val="0CFA4110"/>
    <w:rsid w:val="0D207CE7"/>
    <w:rsid w:val="0E9E6313"/>
    <w:rsid w:val="0F055EC5"/>
    <w:rsid w:val="0F566DED"/>
    <w:rsid w:val="10283467"/>
    <w:rsid w:val="102F0B7B"/>
    <w:rsid w:val="10DB78ED"/>
    <w:rsid w:val="11025D89"/>
    <w:rsid w:val="11D363A6"/>
    <w:rsid w:val="129F0AAB"/>
    <w:rsid w:val="1359145C"/>
    <w:rsid w:val="13B55D4D"/>
    <w:rsid w:val="1404150D"/>
    <w:rsid w:val="141F36D1"/>
    <w:rsid w:val="145C0106"/>
    <w:rsid w:val="14861F22"/>
    <w:rsid w:val="183D0B4A"/>
    <w:rsid w:val="18552337"/>
    <w:rsid w:val="186A6BF8"/>
    <w:rsid w:val="187622AE"/>
    <w:rsid w:val="18FA6A3B"/>
    <w:rsid w:val="19017DC9"/>
    <w:rsid w:val="191F54EE"/>
    <w:rsid w:val="192341E3"/>
    <w:rsid w:val="198A4263"/>
    <w:rsid w:val="1A1E1333"/>
    <w:rsid w:val="1A646862"/>
    <w:rsid w:val="1ABD4E9E"/>
    <w:rsid w:val="1AE41750"/>
    <w:rsid w:val="1B280B98"/>
    <w:rsid w:val="1B293607"/>
    <w:rsid w:val="1B520DB0"/>
    <w:rsid w:val="1B6A60FA"/>
    <w:rsid w:val="1B8B7B95"/>
    <w:rsid w:val="1BEA58FD"/>
    <w:rsid w:val="1BF8028F"/>
    <w:rsid w:val="1CCF4667"/>
    <w:rsid w:val="1CD00D9F"/>
    <w:rsid w:val="1CD350C4"/>
    <w:rsid w:val="1CF55E97"/>
    <w:rsid w:val="1D7E7C3A"/>
    <w:rsid w:val="1D7F39B2"/>
    <w:rsid w:val="1DA82F09"/>
    <w:rsid w:val="1DEE1612"/>
    <w:rsid w:val="1E0134EF"/>
    <w:rsid w:val="1E193E07"/>
    <w:rsid w:val="1F340938"/>
    <w:rsid w:val="1F8B39D5"/>
    <w:rsid w:val="1FDE786A"/>
    <w:rsid w:val="1FF71FCD"/>
    <w:rsid w:val="20001E79"/>
    <w:rsid w:val="200D2C63"/>
    <w:rsid w:val="206375BB"/>
    <w:rsid w:val="209634ED"/>
    <w:rsid w:val="215F1C1F"/>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234BC"/>
    <w:rsid w:val="27EB411E"/>
    <w:rsid w:val="28243AD4"/>
    <w:rsid w:val="28AB320C"/>
    <w:rsid w:val="28C606E7"/>
    <w:rsid w:val="28F2168E"/>
    <w:rsid w:val="297B7724"/>
    <w:rsid w:val="29A8408B"/>
    <w:rsid w:val="29EA13DF"/>
    <w:rsid w:val="29EE6148"/>
    <w:rsid w:val="2A203A88"/>
    <w:rsid w:val="2A241B69"/>
    <w:rsid w:val="2A4E6BE6"/>
    <w:rsid w:val="2A6E5188"/>
    <w:rsid w:val="2A7F1496"/>
    <w:rsid w:val="2A8D7116"/>
    <w:rsid w:val="2AEB2687"/>
    <w:rsid w:val="2B5446D0"/>
    <w:rsid w:val="2BDA2E28"/>
    <w:rsid w:val="2C444745"/>
    <w:rsid w:val="2CC61D38"/>
    <w:rsid w:val="2D834DF9"/>
    <w:rsid w:val="2DB55005"/>
    <w:rsid w:val="2E093550"/>
    <w:rsid w:val="2E284BDF"/>
    <w:rsid w:val="2E741572"/>
    <w:rsid w:val="2EA15E7F"/>
    <w:rsid w:val="2EEB0EA8"/>
    <w:rsid w:val="2F3B1E2F"/>
    <w:rsid w:val="2F685D83"/>
    <w:rsid w:val="2F745341"/>
    <w:rsid w:val="2FF215C2"/>
    <w:rsid w:val="304D1233"/>
    <w:rsid w:val="30B359F5"/>
    <w:rsid w:val="30B70A98"/>
    <w:rsid w:val="30C9339C"/>
    <w:rsid w:val="30D75B88"/>
    <w:rsid w:val="312811AB"/>
    <w:rsid w:val="318D31E8"/>
    <w:rsid w:val="31BA13DF"/>
    <w:rsid w:val="328B489A"/>
    <w:rsid w:val="33D62126"/>
    <w:rsid w:val="348C22AE"/>
    <w:rsid w:val="350C2B08"/>
    <w:rsid w:val="353D61D5"/>
    <w:rsid w:val="35523A2F"/>
    <w:rsid w:val="35564A6A"/>
    <w:rsid w:val="35D501BC"/>
    <w:rsid w:val="35FF51B4"/>
    <w:rsid w:val="367B2376"/>
    <w:rsid w:val="37267393"/>
    <w:rsid w:val="37C4498C"/>
    <w:rsid w:val="37FE39FA"/>
    <w:rsid w:val="38115DC2"/>
    <w:rsid w:val="38673C95"/>
    <w:rsid w:val="38B60778"/>
    <w:rsid w:val="39341715"/>
    <w:rsid w:val="39407315"/>
    <w:rsid w:val="39565AB7"/>
    <w:rsid w:val="3A6D4088"/>
    <w:rsid w:val="3B1F2605"/>
    <w:rsid w:val="3B3135D0"/>
    <w:rsid w:val="3B871F58"/>
    <w:rsid w:val="3B8AA39B"/>
    <w:rsid w:val="3BA70186"/>
    <w:rsid w:val="3BAA3FB1"/>
    <w:rsid w:val="3BBA27B4"/>
    <w:rsid w:val="3C136B23"/>
    <w:rsid w:val="3C1460C3"/>
    <w:rsid w:val="3C597D99"/>
    <w:rsid w:val="3C865F78"/>
    <w:rsid w:val="3CC9348E"/>
    <w:rsid w:val="3CDB07AE"/>
    <w:rsid w:val="3D023F8C"/>
    <w:rsid w:val="3D4B2EB3"/>
    <w:rsid w:val="3D577938"/>
    <w:rsid w:val="3DD75D32"/>
    <w:rsid w:val="3E520DC7"/>
    <w:rsid w:val="3F03223E"/>
    <w:rsid w:val="3F2B709E"/>
    <w:rsid w:val="3F79EE90"/>
    <w:rsid w:val="3F80563C"/>
    <w:rsid w:val="3FB3156E"/>
    <w:rsid w:val="3FEFA6E8"/>
    <w:rsid w:val="3FF335F9"/>
    <w:rsid w:val="4010076E"/>
    <w:rsid w:val="402441FB"/>
    <w:rsid w:val="41241AE4"/>
    <w:rsid w:val="416E0932"/>
    <w:rsid w:val="41AE6491"/>
    <w:rsid w:val="41F45E6E"/>
    <w:rsid w:val="41FFFF78"/>
    <w:rsid w:val="42042555"/>
    <w:rsid w:val="42585E56"/>
    <w:rsid w:val="429608E2"/>
    <w:rsid w:val="42C6199F"/>
    <w:rsid w:val="434B7D0F"/>
    <w:rsid w:val="43CC65BD"/>
    <w:rsid w:val="444035EC"/>
    <w:rsid w:val="449C6A74"/>
    <w:rsid w:val="44A47469"/>
    <w:rsid w:val="45374C69"/>
    <w:rsid w:val="453A003B"/>
    <w:rsid w:val="455579DF"/>
    <w:rsid w:val="45674E56"/>
    <w:rsid w:val="457D6AC5"/>
    <w:rsid w:val="45C218AE"/>
    <w:rsid w:val="463F3045"/>
    <w:rsid w:val="465F60A2"/>
    <w:rsid w:val="467928F9"/>
    <w:rsid w:val="46AC31BB"/>
    <w:rsid w:val="46ED1809"/>
    <w:rsid w:val="473C009B"/>
    <w:rsid w:val="47A125F4"/>
    <w:rsid w:val="4AE8111F"/>
    <w:rsid w:val="4B7C7600"/>
    <w:rsid w:val="4BAE52DF"/>
    <w:rsid w:val="4C51283A"/>
    <w:rsid w:val="4CD86981"/>
    <w:rsid w:val="4CE84AB9"/>
    <w:rsid w:val="4DB7491F"/>
    <w:rsid w:val="4DBF1A26"/>
    <w:rsid w:val="4DF46E8A"/>
    <w:rsid w:val="4E0F386F"/>
    <w:rsid w:val="4E5E123E"/>
    <w:rsid w:val="4E821CCB"/>
    <w:rsid w:val="4F671849"/>
    <w:rsid w:val="4F9D5D96"/>
    <w:rsid w:val="4FA42C81"/>
    <w:rsid w:val="50277BC9"/>
    <w:rsid w:val="503A0FBA"/>
    <w:rsid w:val="50CC21E5"/>
    <w:rsid w:val="511665E9"/>
    <w:rsid w:val="512C5AEB"/>
    <w:rsid w:val="517B76A5"/>
    <w:rsid w:val="51844B18"/>
    <w:rsid w:val="51871521"/>
    <w:rsid w:val="51C03390"/>
    <w:rsid w:val="51FA75DE"/>
    <w:rsid w:val="52D25D57"/>
    <w:rsid w:val="52D90E94"/>
    <w:rsid w:val="53605111"/>
    <w:rsid w:val="53DB5A94"/>
    <w:rsid w:val="541D1E6C"/>
    <w:rsid w:val="55312399"/>
    <w:rsid w:val="55627866"/>
    <w:rsid w:val="55651104"/>
    <w:rsid w:val="55741347"/>
    <w:rsid w:val="55F16F36"/>
    <w:rsid w:val="56FE35BF"/>
    <w:rsid w:val="572B6B56"/>
    <w:rsid w:val="5736683C"/>
    <w:rsid w:val="57620D4F"/>
    <w:rsid w:val="57F53220"/>
    <w:rsid w:val="57F95B34"/>
    <w:rsid w:val="58647451"/>
    <w:rsid w:val="589D1F31"/>
    <w:rsid w:val="59215342"/>
    <w:rsid w:val="59EEBB73"/>
    <w:rsid w:val="5A4532B2"/>
    <w:rsid w:val="5AA44727"/>
    <w:rsid w:val="5B1923E8"/>
    <w:rsid w:val="5B3F5F54"/>
    <w:rsid w:val="5B8C73EB"/>
    <w:rsid w:val="5B8E2A48"/>
    <w:rsid w:val="5C484BB0"/>
    <w:rsid w:val="5C545A2F"/>
    <w:rsid w:val="5C76653E"/>
    <w:rsid w:val="5CB17FA1"/>
    <w:rsid w:val="5CE60D7D"/>
    <w:rsid w:val="5CF8536B"/>
    <w:rsid w:val="5D447851"/>
    <w:rsid w:val="5D600B2F"/>
    <w:rsid w:val="5DDB651C"/>
    <w:rsid w:val="5E4107AB"/>
    <w:rsid w:val="601616A0"/>
    <w:rsid w:val="602D2580"/>
    <w:rsid w:val="612E2CF2"/>
    <w:rsid w:val="6162299C"/>
    <w:rsid w:val="61897F29"/>
    <w:rsid w:val="61E77BAD"/>
    <w:rsid w:val="623954AB"/>
    <w:rsid w:val="62A10326"/>
    <w:rsid w:val="62BF00A6"/>
    <w:rsid w:val="62E80C7F"/>
    <w:rsid w:val="62EF200D"/>
    <w:rsid w:val="6343411C"/>
    <w:rsid w:val="643D1673"/>
    <w:rsid w:val="64D16632"/>
    <w:rsid w:val="65736F26"/>
    <w:rsid w:val="65F52031"/>
    <w:rsid w:val="66206866"/>
    <w:rsid w:val="663D12E2"/>
    <w:rsid w:val="66471BF6"/>
    <w:rsid w:val="666004F6"/>
    <w:rsid w:val="66630D48"/>
    <w:rsid w:val="66AA4699"/>
    <w:rsid w:val="66B71DB0"/>
    <w:rsid w:val="66C13CC1"/>
    <w:rsid w:val="673C2FD6"/>
    <w:rsid w:val="68133F4F"/>
    <w:rsid w:val="68294213"/>
    <w:rsid w:val="68460921"/>
    <w:rsid w:val="688E0B3C"/>
    <w:rsid w:val="68D21D93"/>
    <w:rsid w:val="696F72A7"/>
    <w:rsid w:val="69F20789"/>
    <w:rsid w:val="6A535578"/>
    <w:rsid w:val="6AB371AF"/>
    <w:rsid w:val="6B5275DD"/>
    <w:rsid w:val="6BBA59F2"/>
    <w:rsid w:val="6BF7675E"/>
    <w:rsid w:val="6D301BA0"/>
    <w:rsid w:val="6D8311D9"/>
    <w:rsid w:val="6DB8406F"/>
    <w:rsid w:val="6E0819B1"/>
    <w:rsid w:val="6E8A48AD"/>
    <w:rsid w:val="6F410095"/>
    <w:rsid w:val="6F8C31A5"/>
    <w:rsid w:val="6F8F4715"/>
    <w:rsid w:val="700A66D9"/>
    <w:rsid w:val="70345285"/>
    <w:rsid w:val="71245578"/>
    <w:rsid w:val="71D21478"/>
    <w:rsid w:val="71E53AF6"/>
    <w:rsid w:val="72253C9E"/>
    <w:rsid w:val="724678F8"/>
    <w:rsid w:val="725F4256"/>
    <w:rsid w:val="72BE633B"/>
    <w:rsid w:val="72C93ABE"/>
    <w:rsid w:val="73041B05"/>
    <w:rsid w:val="735E459D"/>
    <w:rsid w:val="736967AF"/>
    <w:rsid w:val="736D552E"/>
    <w:rsid w:val="73D47729"/>
    <w:rsid w:val="74051691"/>
    <w:rsid w:val="745C066F"/>
    <w:rsid w:val="746B1F41"/>
    <w:rsid w:val="74A76EB3"/>
    <w:rsid w:val="752A64AA"/>
    <w:rsid w:val="75C31803"/>
    <w:rsid w:val="760D0CD1"/>
    <w:rsid w:val="760F67F7"/>
    <w:rsid w:val="764364A0"/>
    <w:rsid w:val="76487F5B"/>
    <w:rsid w:val="775D3592"/>
    <w:rsid w:val="77890A18"/>
    <w:rsid w:val="77AA2691"/>
    <w:rsid w:val="77BC7F2D"/>
    <w:rsid w:val="78631C50"/>
    <w:rsid w:val="789456D9"/>
    <w:rsid w:val="79584959"/>
    <w:rsid w:val="79960FDD"/>
    <w:rsid w:val="79975481"/>
    <w:rsid w:val="79B75489"/>
    <w:rsid w:val="7A396538"/>
    <w:rsid w:val="7A74131E"/>
    <w:rsid w:val="7A797924"/>
    <w:rsid w:val="7A7D216D"/>
    <w:rsid w:val="7A8D259F"/>
    <w:rsid w:val="7AEA338E"/>
    <w:rsid w:val="7B071EC0"/>
    <w:rsid w:val="7B7A118C"/>
    <w:rsid w:val="7CD10A13"/>
    <w:rsid w:val="7CF36423"/>
    <w:rsid w:val="7D1102F8"/>
    <w:rsid w:val="7DEC702A"/>
    <w:rsid w:val="7E8B7F5A"/>
    <w:rsid w:val="7ED3780E"/>
    <w:rsid w:val="7ED50BC3"/>
    <w:rsid w:val="7F334FC6"/>
    <w:rsid w:val="7F345520"/>
    <w:rsid w:val="7F482BD2"/>
    <w:rsid w:val="7F9F23E4"/>
    <w:rsid w:val="7FBEF74B"/>
    <w:rsid w:val="7FF47F89"/>
    <w:rsid w:val="8FBF1CB9"/>
    <w:rsid w:val="AEFE0F82"/>
    <w:rsid w:val="BFF684AF"/>
    <w:rsid w:val="F87F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line="600" w:lineRule="exact"/>
      <w:ind w:firstLine="880" w:firstLineChars="200"/>
    </w:pPr>
    <w:rPr>
      <w:rFonts w:eastAsia="仿宋_GB2312"/>
      <w:sz w:val="32"/>
    </w:rPr>
  </w:style>
  <w:style w:type="paragraph" w:styleId="4">
    <w:name w:val="table of authorities"/>
    <w:basedOn w:val="1"/>
    <w:next w:val="1"/>
    <w:unhideWhenUsed/>
    <w:qFormat/>
    <w:uiPriority w:val="99"/>
    <w:pPr>
      <w:ind w:left="20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6216</Words>
  <Characters>6640</Characters>
  <Lines>0</Lines>
  <Paragraphs>0</Paragraphs>
  <TotalTime>4</TotalTime>
  <ScaleCrop>false</ScaleCrop>
  <LinksUpToDate>false</LinksUpToDate>
  <CharactersWithSpaces>6822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2022-08-01T07:40:00Z</dcterms:created>
  <dc:creator>高春雷</dc:creator>
  <cp:lastModifiedBy>Administrator</cp:lastModifiedBy>
  <cp:lastPrinted>2024-09-13T17:45:00Z</cp:lastPrinted>
  <dcterms:modified xsi:type="dcterms:W3CDTF">2024-09-25T07:27:59Z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146ABE1825FD78242471F3660676113F</vt:lpwstr>
  </property>
</Properties>
</file>