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03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auto"/>
          <w:spacing w:val="0"/>
          <w:kern w:val="0"/>
          <w:sz w:val="44"/>
          <w:szCs w:val="44"/>
          <w:highlight w:val="none"/>
          <w:u w:val="none"/>
          <w:lang w:val="en-US" w:eastAsia="zh-CN" w:bidi="ar"/>
        </w:rPr>
      </w:pPr>
      <w:bookmarkStart w:id="0" w:name="_GoBack"/>
      <w:r>
        <w:rPr>
          <w:rFonts w:hint="eastAsia" w:ascii="宋体" w:hAnsi="宋体" w:eastAsia="宋体" w:cs="宋体"/>
          <w:i w:val="0"/>
          <w:iCs w:val="0"/>
          <w:caps w:val="0"/>
          <w:color w:val="auto"/>
          <w:spacing w:val="0"/>
          <w:kern w:val="0"/>
          <w:sz w:val="44"/>
          <w:szCs w:val="44"/>
          <w:highlight w:val="none"/>
          <w:u w:val="none"/>
          <w:lang w:val="en-US" w:eastAsia="zh-CN" w:bidi="ar"/>
        </w:rPr>
        <w:t>2024年满洲里市边境经济合作区管理委员会</w:t>
      </w:r>
    </w:p>
    <w:p w14:paraId="697A5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auto"/>
          <w:spacing w:val="0"/>
          <w:kern w:val="0"/>
          <w:sz w:val="44"/>
          <w:szCs w:val="44"/>
          <w:highlight w:val="none"/>
          <w:u w:val="none"/>
          <w:lang w:val="en-US" w:eastAsia="zh-CN" w:bidi="ar"/>
        </w:rPr>
      </w:pPr>
      <w:r>
        <w:rPr>
          <w:rFonts w:hint="eastAsia" w:ascii="宋体" w:hAnsi="宋体" w:eastAsia="宋体" w:cs="宋体"/>
          <w:i w:val="0"/>
          <w:iCs w:val="0"/>
          <w:caps w:val="0"/>
          <w:color w:val="auto"/>
          <w:spacing w:val="0"/>
          <w:kern w:val="0"/>
          <w:sz w:val="44"/>
          <w:szCs w:val="44"/>
          <w:highlight w:val="none"/>
          <w:u w:val="none"/>
          <w:lang w:val="en-US" w:eastAsia="zh-CN" w:bidi="ar"/>
        </w:rPr>
        <w:t>所属事业单位人才引进公告（第二批）</w:t>
      </w:r>
    </w:p>
    <w:p w14:paraId="1896F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highlight w:val="none"/>
          <w:u w:val="none"/>
          <w:lang w:val="en-US" w:eastAsia="zh-CN" w:bidi="ar"/>
        </w:rPr>
      </w:pPr>
    </w:p>
    <w:p w14:paraId="188EFDDF">
      <w:pPr>
        <w:spacing w:line="560" w:lineRule="exact"/>
        <w:ind w:firstLine="640" w:firstLineChars="200"/>
        <w:rPr>
          <w:rFonts w:ascii="仿宋" w:hAnsi="仿宋" w:eastAsia="仿宋"/>
          <w:sz w:val="32"/>
          <w:szCs w:val="32"/>
        </w:rPr>
      </w:pPr>
      <w:r>
        <w:rPr>
          <w:rFonts w:hint="eastAsia" w:ascii="仿宋" w:hAnsi="仿宋" w:eastAsia="仿宋"/>
          <w:sz w:val="32"/>
          <w:szCs w:val="32"/>
        </w:rPr>
        <w:t>根据满洲里市事业单位人才引进相关规定，结合满洲里市边境经济合作区</w:t>
      </w:r>
      <w:r>
        <w:rPr>
          <w:rFonts w:hint="eastAsia" w:ascii="仿宋" w:hAnsi="仿宋" w:eastAsia="仿宋"/>
          <w:sz w:val="32"/>
          <w:szCs w:val="32"/>
          <w:lang w:eastAsia="zh-CN"/>
        </w:rPr>
        <w:t>管理委员会</w:t>
      </w:r>
      <w:r>
        <w:rPr>
          <w:rFonts w:hint="eastAsia" w:ascii="仿宋" w:hAnsi="仿宋" w:eastAsia="仿宋"/>
          <w:sz w:val="32"/>
          <w:szCs w:val="32"/>
        </w:rPr>
        <w:t>所属事业单位工作需要，</w:t>
      </w:r>
      <w:r>
        <w:rPr>
          <w:rFonts w:hint="eastAsia" w:ascii="仿宋" w:hAnsi="仿宋" w:eastAsia="仿宋"/>
          <w:color w:val="auto"/>
          <w:sz w:val="32"/>
          <w:szCs w:val="32"/>
          <w:u w:val="none"/>
          <w:lang w:val="en-US" w:eastAsia="zh-CN"/>
        </w:rPr>
        <w:t>经研究决定，</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w:t>
      </w:r>
      <w:r>
        <w:rPr>
          <w:rFonts w:hint="eastAsia" w:ascii="仿宋" w:hAnsi="仿宋" w:eastAsia="仿宋"/>
          <w:sz w:val="32"/>
          <w:szCs w:val="32"/>
        </w:rPr>
        <w:t>现将有关事宜公告如下：</w:t>
      </w:r>
    </w:p>
    <w:p w14:paraId="6E6C990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一、引进计划</w:t>
      </w:r>
    </w:p>
    <w:p w14:paraId="2D44FE27">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满洲里市边境经济合作区公共事业发展中心计划引进人才</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名。满洲里市边境经济合作区管理委员会综合保障中心计划引进人才</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名。人才引进岗位及条件详见附件1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《2024年满洲里市边境经济合作区管理委员会所属事业单位人才引进岗位需求表》（以下简称《岗位需求表》）。</w:t>
      </w:r>
    </w:p>
    <w:p w14:paraId="7909EAB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二、引进条件 </w:t>
      </w:r>
    </w:p>
    <w:p w14:paraId="761C1CCE">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（一）引进对象须具备以下条件：</w:t>
      </w:r>
    </w:p>
    <w:p w14:paraId="0D89638A">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1.具有中华人民共和国国籍；</w:t>
      </w:r>
    </w:p>
    <w:p w14:paraId="67E75A15">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2.遵守中华人民共和国宪法和法律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拥护中国共产党领导和社会主义制度；</w:t>
      </w:r>
    </w:p>
    <w:p w14:paraId="06932EE6">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3.铸牢中华民族共同体意识，自觉维护民族团结进步；</w:t>
      </w:r>
    </w:p>
    <w:p w14:paraId="6BD5511F">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4.品行端正，具有较强的事业心和责任感；遵守职业道德规范，无违法违纪行为，具有良好的品行、正常履行职责的身体条件和心理素质，具备相关基本能力；</w:t>
      </w:r>
    </w:p>
    <w:p w14:paraId="4A902306">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5.本科生报考应具有一流大学、一流学科建设高校或原“985”“211”高校相关专业全日制本科学历并取得相应学位；研究生以上学历报考应具有相关专业全日制研究生以上学历并取得相应学位</w:t>
      </w:r>
      <w:r>
        <w:rPr>
          <w:rFonts w:hint="eastAsia" w:ascii="仿宋_GB2312" w:hAnsi="仿宋_GB2312" w:eastAsia="仿宋_GB2312" w:cs="仿宋_GB2312"/>
          <w:color w:val="auto"/>
          <w:sz w:val="32"/>
          <w:szCs w:val="32"/>
          <w:highlight w:val="none"/>
          <w:lang w:val="en-US" w:eastAsia="zh-CN"/>
        </w:rPr>
        <w:t>；</w:t>
      </w:r>
    </w:p>
    <w:p w14:paraId="4FDE6B2F">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报考专技岗位专业（二）的人员，应取得国民教育序列本科及以上学历，且取得安全生产领域副高级以上专业技术职称</w:t>
      </w:r>
      <w:r>
        <w:rPr>
          <w:rFonts w:hint="eastAsia" w:ascii="仿宋_GB2312" w:hAnsi="仿宋_GB2312" w:eastAsia="仿宋_GB2312" w:cs="仿宋_GB2312"/>
          <w:color w:val="auto"/>
          <w:sz w:val="32"/>
          <w:szCs w:val="32"/>
          <w:highlight w:val="none"/>
          <w:lang w:val="en-US" w:eastAsia="zh-CN"/>
        </w:rPr>
        <w:t>；</w:t>
      </w:r>
    </w:p>
    <w:p w14:paraId="4F69FCA1">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color w:val="auto"/>
          <w:sz w:val="32"/>
          <w:szCs w:val="32"/>
        </w:rPr>
        <w:t>6.全日制本科生不超过35周岁（198</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月3</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日以后出生），硕士研究生不超过40周岁（198</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月3</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日以后出生），博士研究生原则上不超过45周岁（197</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月3</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日以后出生）；</w:t>
      </w:r>
    </w:p>
    <w:p w14:paraId="5DC42633">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报考专技岗位专业（二）的人员，年龄不超过40周岁（198</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日以后出生）</w:t>
      </w:r>
      <w:r>
        <w:rPr>
          <w:rFonts w:hint="eastAsia" w:ascii="仿宋_GB2312" w:hAnsi="仿宋_GB2312" w:eastAsia="仿宋_GB2312" w:cs="仿宋_GB2312"/>
          <w:color w:val="auto"/>
          <w:sz w:val="32"/>
          <w:szCs w:val="32"/>
          <w:highlight w:val="none"/>
          <w:lang w:val="en-US" w:eastAsia="zh-CN"/>
        </w:rPr>
        <w:t>；</w:t>
      </w:r>
    </w:p>
    <w:p w14:paraId="19D89B22">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7.国（境）外留学归国学士、硕士或博士研究生需持有国外学历学位认证书，专业名称须与国内专业名称一致或相近</w:t>
      </w:r>
      <w:r>
        <w:rPr>
          <w:rFonts w:hint="eastAsia" w:ascii="仿宋_GB2312" w:hAnsi="仿宋_GB2312" w:eastAsia="仿宋_GB2312" w:cs="仿宋_GB2312"/>
          <w:color w:val="auto"/>
          <w:sz w:val="32"/>
          <w:szCs w:val="32"/>
          <w:highlight w:val="none"/>
          <w:lang w:val="en-US" w:eastAsia="zh-CN"/>
        </w:rPr>
        <w:t>；</w:t>
      </w:r>
    </w:p>
    <w:p w14:paraId="5417556F">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8.学历及其他资格条件所取得时间为2024年7月31日前；</w:t>
      </w:r>
    </w:p>
    <w:p w14:paraId="2E3390D8">
      <w:pPr>
        <w:spacing w:line="56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.岗位所需的其他条件</w:t>
      </w:r>
      <w:r>
        <w:rPr>
          <w:rFonts w:hint="eastAsia" w:ascii="仿宋" w:hAnsi="仿宋" w:eastAsia="仿宋" w:cs="仿宋"/>
          <w:color w:val="auto"/>
          <w:sz w:val="32"/>
          <w:szCs w:val="32"/>
          <w:lang w:eastAsia="zh-CN"/>
        </w:rPr>
        <w:t>。</w:t>
      </w:r>
    </w:p>
    <w:p w14:paraId="05735384">
      <w:pPr>
        <w:spacing w:line="560" w:lineRule="exact"/>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（二）以下人员不得报名:</w:t>
      </w:r>
    </w:p>
    <w:p w14:paraId="5A3811D3">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1.在读的普通高等学校全日制本科生、研究生（不含应届毕业生）；</w:t>
      </w:r>
    </w:p>
    <w:p w14:paraId="519370B6">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2.试用期内和未满最低服务年限的机关、事业单位工作人员；</w:t>
      </w:r>
    </w:p>
    <w:p w14:paraId="04419FE9">
      <w:pPr>
        <w:spacing w:line="560" w:lineRule="exact"/>
        <w:ind w:firstLine="640" w:firstLineChars="200"/>
        <w:rPr>
          <w:rFonts w:ascii="仿宋" w:hAnsi="仿宋" w:eastAsia="仿宋"/>
          <w:color w:val="FF0000"/>
          <w:sz w:val="32"/>
          <w:szCs w:val="32"/>
        </w:rPr>
      </w:pPr>
      <w:r>
        <w:rPr>
          <w:rFonts w:hint="eastAsia" w:ascii="仿宋" w:hAnsi="仿宋" w:eastAsia="仿宋"/>
          <w:color w:val="auto"/>
          <w:sz w:val="32"/>
          <w:szCs w:val="32"/>
        </w:rPr>
        <w:t>3.曾因犯罪受过刑事处罚的；被开除中国共产党党籍和公职的；在立案审查期间或在党纪、政务处分影响期内的；被开除公职的人员；被依法列为失信联合惩戒对象的人员；</w:t>
      </w:r>
    </w:p>
    <w:p w14:paraId="5B56FEC1">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4.在公开引进中被认定有舞弊等严重违反录用（聘用）纪律行为并在禁考期限内的人员；</w:t>
      </w:r>
    </w:p>
    <w:p w14:paraId="45326AF4">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5.现役军人；</w:t>
      </w:r>
    </w:p>
    <w:p w14:paraId="2D78DFD7">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6.应聘后即构成回避关系岗位的人员；</w:t>
      </w:r>
    </w:p>
    <w:p w14:paraId="1BF9DB30">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7.法律法规规定不得聘用为事业单位工作人员的其他情形人员。</w:t>
      </w:r>
    </w:p>
    <w:p w14:paraId="0106AF7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三、引进方式和程序</w:t>
      </w:r>
    </w:p>
    <w:p w14:paraId="54B7BB99">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（一）发布公告</w:t>
      </w:r>
    </w:p>
    <w:p w14:paraId="280A1666">
      <w:pPr>
        <w:spacing w:line="560" w:lineRule="exact"/>
        <w:ind w:firstLine="640" w:firstLineChars="200"/>
        <w:rPr>
          <w:rFonts w:ascii="仿宋" w:hAnsi="仿宋" w:eastAsia="仿宋"/>
          <w:sz w:val="32"/>
          <w:szCs w:val="32"/>
        </w:rPr>
      </w:pPr>
      <w:r>
        <w:rPr>
          <w:rFonts w:hint="eastAsia" w:ascii="仿宋" w:hAnsi="仿宋" w:eastAsia="仿宋"/>
          <w:sz w:val="32"/>
          <w:szCs w:val="32"/>
        </w:rPr>
        <w:t>通过满洲里市人民政府网</w:t>
      </w:r>
      <w:r>
        <w:rPr>
          <w:rFonts w:hint="eastAsia" w:ascii="仿宋" w:hAnsi="仿宋" w:eastAsia="仿宋"/>
          <w:spacing w:val="-8"/>
          <w:sz w:val="32"/>
          <w:szCs w:val="32"/>
        </w:rPr>
        <w:t>、</w:t>
      </w:r>
      <w:r>
        <w:rPr>
          <w:rFonts w:hint="eastAsia" w:ascii="仿宋" w:hAnsi="仿宋" w:eastAsia="仿宋"/>
          <w:sz w:val="32"/>
          <w:szCs w:val="32"/>
        </w:rPr>
        <w:t>满洲里市融媒体中心发布公告。</w:t>
      </w:r>
    </w:p>
    <w:p w14:paraId="3AB79D4D">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（二）报名</w:t>
      </w:r>
    </w:p>
    <w:p w14:paraId="3FE8255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1.报名时间：2024年</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26</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日</w:t>
      </w:r>
    </w:p>
    <w:p w14:paraId="474CC8AF">
      <w:pPr>
        <w:spacing w:line="560" w:lineRule="exact"/>
        <w:ind w:firstLine="640" w:firstLineChars="200"/>
        <w:rPr>
          <w:rFonts w:ascii="仿宋" w:hAnsi="仿宋" w:eastAsia="仿宋"/>
          <w:sz w:val="32"/>
          <w:szCs w:val="32"/>
        </w:rPr>
      </w:pPr>
      <w:r>
        <w:rPr>
          <w:rFonts w:hint="eastAsia" w:ascii="仿宋" w:hAnsi="仿宋" w:eastAsia="仿宋"/>
          <w:sz w:val="32"/>
          <w:szCs w:val="32"/>
        </w:rPr>
        <w:t>2.报名方式：采取网络报名方式进行</w:t>
      </w:r>
    </w:p>
    <w:p w14:paraId="3619DD21">
      <w:pPr>
        <w:spacing w:line="560" w:lineRule="exact"/>
        <w:ind w:left="0" w:leftChars="0" w:firstLine="908" w:firstLineChars="284"/>
        <w:rPr>
          <w:rStyle w:val="9"/>
          <w:rFonts w:ascii="仿宋" w:hAnsi="仿宋" w:eastAsia="仿宋"/>
          <w:color w:val="auto"/>
          <w:sz w:val="32"/>
          <w:szCs w:val="32"/>
        </w:rPr>
      </w:pPr>
      <w:r>
        <w:rPr>
          <w:rFonts w:hint="eastAsia" w:ascii="仿宋" w:hAnsi="仿宋" w:eastAsia="仿宋"/>
          <w:sz w:val="32"/>
          <w:szCs w:val="32"/>
        </w:rPr>
        <w:t>报名邮箱：</w:t>
      </w:r>
      <w:r>
        <w:rPr>
          <w:rFonts w:hint="eastAsia" w:ascii="仿宋" w:hAnsi="仿宋" w:eastAsia="仿宋" w:cs="仿宋"/>
          <w:sz w:val="32"/>
          <w:szCs w:val="32"/>
        </w:rPr>
        <w:t>hzqgwhxzb@163.com</w:t>
      </w:r>
    </w:p>
    <w:p w14:paraId="05DF49C5">
      <w:pPr>
        <w:pStyle w:val="4"/>
        <w:spacing w:line="560" w:lineRule="exact"/>
        <w:ind w:firstLine="640" w:firstLineChars="200"/>
        <w:jc w:val="both"/>
        <w:rPr>
          <w:highlight w:val="none"/>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highlight w:val="none"/>
        </w:rPr>
        <w:t>每位报名人员只能报一个岗位，凡报两个及以上岗位的，取消报名资格。</w:t>
      </w:r>
    </w:p>
    <w:p w14:paraId="5BA2B765">
      <w:pPr>
        <w:spacing w:line="560" w:lineRule="exact"/>
        <w:ind w:firstLine="640" w:firstLineChars="200"/>
        <w:rPr>
          <w:rFonts w:ascii="仿宋" w:hAnsi="仿宋" w:eastAsia="仿宋"/>
          <w:b/>
          <w:bCs/>
          <w:sz w:val="32"/>
          <w:szCs w:val="32"/>
          <w:highlight w:val="none"/>
        </w:rPr>
      </w:pPr>
      <w:r>
        <w:rPr>
          <w:rFonts w:hint="eastAsia" w:ascii="仿宋" w:hAnsi="仿宋" w:eastAsia="仿宋"/>
          <w:sz w:val="32"/>
          <w:szCs w:val="32"/>
          <w:highlight w:val="none"/>
        </w:rPr>
        <w:t>4.应聘人员须按要求填写附件2</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《2024年满洲里市边境经济合作区管理委员会所属事业单位人才引进报名表》，并上传本人近期2寸正面免冠数码彩照(白色背景，jpg格式，100KB以下)。</w:t>
      </w:r>
      <w:r>
        <w:rPr>
          <w:highlight w:val="none"/>
        </w:rPr>
        <w:fldChar w:fldCharType="begin"/>
      </w:r>
      <w:r>
        <w:rPr>
          <w:highlight w:val="none"/>
        </w:rPr>
        <w:instrText xml:space="preserve"> HYPERLINK "mailto:在报名期限内发送到邮箱mzlwtlygdj@163.com" </w:instrText>
      </w:r>
      <w:r>
        <w:rPr>
          <w:highlight w:val="none"/>
        </w:rPr>
        <w:fldChar w:fldCharType="separate"/>
      </w:r>
      <w:r>
        <w:rPr>
          <w:rFonts w:hint="eastAsia" w:ascii="仿宋" w:hAnsi="仿宋" w:eastAsia="仿宋"/>
          <w:sz w:val="32"/>
          <w:szCs w:val="32"/>
          <w:highlight w:val="none"/>
        </w:rPr>
        <w:t>在报名期限内发送到邮箱</w:t>
      </w:r>
      <w:r>
        <w:rPr>
          <w:rFonts w:hint="eastAsia" w:ascii="仿宋" w:hAnsi="仿宋" w:eastAsia="仿宋"/>
          <w:sz w:val="32"/>
          <w:szCs w:val="32"/>
          <w:highlight w:val="none"/>
        </w:rPr>
        <w:fldChar w:fldCharType="end"/>
      </w:r>
      <w:r>
        <w:rPr>
          <w:rFonts w:hint="eastAsia" w:ascii="仿宋" w:hAnsi="仿宋" w:eastAsia="仿宋"/>
          <w:sz w:val="32"/>
          <w:szCs w:val="32"/>
          <w:highlight w:val="none"/>
        </w:rPr>
        <w:t>（</w:t>
      </w:r>
      <w:r>
        <w:rPr>
          <w:rFonts w:hint="eastAsia" w:ascii="仿宋" w:hAnsi="仿宋" w:eastAsia="仿宋" w:cs="仿宋"/>
          <w:sz w:val="32"/>
          <w:szCs w:val="32"/>
          <w:highlight w:val="none"/>
        </w:rPr>
        <w:t>hzqgwhxzb@163.com</w:t>
      </w:r>
      <w:r>
        <w:rPr>
          <w:rFonts w:hint="eastAsia" w:ascii="仿宋" w:hAnsi="仿宋" w:eastAsia="仿宋"/>
          <w:sz w:val="32"/>
          <w:szCs w:val="32"/>
          <w:highlight w:val="none"/>
        </w:rPr>
        <w:t>），发送报名信息时请点击已读回执，确认报名信息发送成功。</w:t>
      </w:r>
    </w:p>
    <w:p w14:paraId="0B5DFD77">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应聘人员填写个人简历时，须完整填写学习和工作经历，时间不得间断或空缺。报名信息填写不全、不规范或不按要求填写报名信息的，不予审核通过。报名人员要认真阅读报考条件和要求，所填报考信息应当真实、准确、完整、规范，凡弄虚作假者将取消考试和引进资格。</w:t>
      </w:r>
    </w:p>
    <w:p w14:paraId="4C9B816C">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6.报名时需提供以下材料，所有材料均须扫描成PDF格式文件并打包（姓名+报考岗位）上传：</w:t>
      </w:r>
    </w:p>
    <w:p w14:paraId="601432DD">
      <w:pPr>
        <w:pStyle w:val="6"/>
        <w:spacing w:beforeAutospacing="0" w:afterAutospacing="0" w:line="560" w:lineRule="exact"/>
        <w:ind w:firstLine="64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（1）《2024年满洲里市边境经济合作区管理委员会所属事业单位人才引进报名表》</w:t>
      </w:r>
      <w:r>
        <w:rPr>
          <w:rFonts w:hint="eastAsia" w:ascii="仿宋" w:hAnsi="仿宋" w:eastAsia="仿宋" w:cs="仿宋"/>
          <w:sz w:val="32"/>
          <w:szCs w:val="32"/>
          <w:highlight w:val="none"/>
          <w:lang w:eastAsia="zh-CN"/>
        </w:rPr>
        <w:t>；</w:t>
      </w:r>
    </w:p>
    <w:p w14:paraId="3E380FFC">
      <w:pPr>
        <w:pStyle w:val="6"/>
        <w:spacing w:beforeAutospacing="0" w:afterAutospacing="0" w:line="560" w:lineRule="exact"/>
        <w:ind w:firstLine="640"/>
        <w:jc w:val="both"/>
        <w:textAlignment w:val="baseline"/>
        <w:rPr>
          <w:rFonts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sz w:val="32"/>
          <w:szCs w:val="32"/>
          <w:highlight w:val="none"/>
        </w:rPr>
        <w:t>学历、学位证书</w:t>
      </w:r>
      <w:r>
        <w:rPr>
          <w:rFonts w:hint="eastAsia" w:ascii="仿宋" w:hAnsi="仿宋" w:eastAsia="仿宋" w:cs="仿宋"/>
          <w:sz w:val="32"/>
          <w:szCs w:val="32"/>
          <w:highlight w:val="none"/>
        </w:rPr>
        <w:t>；</w:t>
      </w:r>
    </w:p>
    <w:p w14:paraId="16D991FB">
      <w:pPr>
        <w:pStyle w:val="6"/>
        <w:spacing w:beforeAutospacing="0" w:afterAutospacing="0" w:line="560" w:lineRule="exact"/>
        <w:ind w:firstLine="640"/>
        <w:jc w:val="both"/>
        <w:textAlignment w:val="baselin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olor w:val="auto"/>
          <w:sz w:val="32"/>
          <w:szCs w:val="32"/>
          <w:highlight w:val="none"/>
        </w:rPr>
        <w:t>《教育部学历证书电子注册备案表》《学位认证报告》；取得国外学历学位的需提供教育部留学服务中心国外学历学位认证书、成绩单和毕业证书（标注本人姓名和证件相关内容翻译名称）；</w:t>
      </w:r>
    </w:p>
    <w:p w14:paraId="0CE2B543">
      <w:pPr>
        <w:pStyle w:val="6"/>
        <w:spacing w:beforeAutospacing="0" w:afterAutospacing="0" w:line="560" w:lineRule="exact"/>
        <w:ind w:firstLine="640"/>
        <w:jc w:val="both"/>
        <w:textAlignment w:val="baseline"/>
        <w:rPr>
          <w:rFonts w:ascii="仿宋" w:hAnsi="仿宋" w:eastAsia="仿宋" w:cs="仿宋"/>
          <w:sz w:val="32"/>
          <w:szCs w:val="32"/>
          <w:highlight w:val="none"/>
        </w:rPr>
      </w:pPr>
      <w:r>
        <w:rPr>
          <w:rFonts w:hint="eastAsia" w:ascii="仿宋" w:hAnsi="仿宋" w:eastAsia="仿宋" w:cs="仿宋"/>
          <w:sz w:val="32"/>
          <w:szCs w:val="32"/>
          <w:highlight w:val="none"/>
        </w:rPr>
        <w:t>（4）居民身份证、户口簿或当地户籍管理机关出具的户籍证明等材料；</w:t>
      </w:r>
    </w:p>
    <w:p w14:paraId="678793F7">
      <w:pPr>
        <w:pStyle w:val="6"/>
        <w:spacing w:beforeAutospacing="0" w:afterAutospacing="0" w:line="560" w:lineRule="exact"/>
        <w:ind w:firstLine="640"/>
        <w:jc w:val="both"/>
        <w:textAlignment w:val="baseline"/>
        <w:rPr>
          <w:rFonts w:ascii="仿宋" w:hAnsi="仿宋" w:eastAsia="仿宋" w:cs="仿宋"/>
          <w:sz w:val="32"/>
          <w:szCs w:val="32"/>
          <w:highlight w:val="none"/>
        </w:rPr>
      </w:pPr>
      <w:r>
        <w:rPr>
          <w:rFonts w:hint="eastAsia" w:ascii="仿宋" w:hAnsi="仿宋" w:eastAsia="仿宋" w:cs="仿宋"/>
          <w:sz w:val="32"/>
          <w:szCs w:val="32"/>
          <w:highlight w:val="none"/>
        </w:rPr>
        <w:t>（5）《无不得引进情形承诺书》；</w:t>
      </w:r>
    </w:p>
    <w:p w14:paraId="4E889DAF">
      <w:pPr>
        <w:pStyle w:val="6"/>
        <w:spacing w:beforeAutospacing="0" w:afterAutospacing="0" w:line="560" w:lineRule="exact"/>
        <w:ind w:firstLine="640"/>
        <w:jc w:val="both"/>
        <w:textAlignment w:val="baseline"/>
        <w:rPr>
          <w:rFonts w:ascii="仿宋" w:hAnsi="仿宋" w:eastAsia="仿宋" w:cs="仿宋"/>
          <w:sz w:val="32"/>
          <w:szCs w:val="32"/>
          <w:highlight w:val="none"/>
        </w:rPr>
      </w:pPr>
      <w:r>
        <w:rPr>
          <w:rFonts w:hint="eastAsia" w:ascii="仿宋" w:hAnsi="仿宋" w:eastAsia="仿宋" w:cs="仿宋"/>
          <w:sz w:val="32"/>
          <w:szCs w:val="32"/>
          <w:highlight w:val="none"/>
        </w:rPr>
        <w:t>（6）应聘人员属于企事业单位职工的，须提供所在单位同意报考证明；</w:t>
      </w:r>
    </w:p>
    <w:p w14:paraId="3342E08F">
      <w:pPr>
        <w:pStyle w:val="6"/>
        <w:spacing w:beforeAutospacing="0" w:afterAutospacing="0" w:line="560" w:lineRule="exact"/>
        <w:ind w:firstLine="640"/>
        <w:jc w:val="both"/>
        <w:textAlignment w:val="baseline"/>
        <w:rPr>
          <w:rFonts w:ascii="仿宋" w:hAnsi="仿宋" w:eastAsia="仿宋" w:cs="仿宋"/>
          <w:sz w:val="32"/>
          <w:szCs w:val="32"/>
          <w:highlight w:val="none"/>
        </w:rPr>
      </w:pPr>
      <w:r>
        <w:rPr>
          <w:rFonts w:hint="eastAsia" w:ascii="仿宋" w:hAnsi="仿宋" w:eastAsia="仿宋" w:cs="仿宋"/>
          <w:sz w:val="32"/>
          <w:szCs w:val="32"/>
          <w:highlight w:val="none"/>
        </w:rPr>
        <w:t>（7）相关专业资格证书、职称证书</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专业技术资格评审表、荣誉证书及佐证材料；</w:t>
      </w:r>
    </w:p>
    <w:p w14:paraId="79822FD6">
      <w:pPr>
        <w:pStyle w:val="6"/>
        <w:spacing w:beforeAutospacing="0" w:afterAutospacing="0" w:line="560" w:lineRule="exact"/>
        <w:ind w:firstLine="64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（8）《回避承诺书》</w:t>
      </w:r>
      <w:r>
        <w:rPr>
          <w:rFonts w:hint="eastAsia" w:ascii="仿宋" w:hAnsi="仿宋" w:eastAsia="仿宋" w:cs="仿宋"/>
          <w:sz w:val="32"/>
          <w:szCs w:val="32"/>
          <w:highlight w:val="none"/>
          <w:lang w:eastAsia="zh-CN"/>
        </w:rPr>
        <w:t>。</w:t>
      </w:r>
    </w:p>
    <w:p w14:paraId="3FBA8941">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7.应聘人员须在规定时间内报名，如不按要求报名视为无效。凡是因未按要求报送材料、报送材料不全、信息内容有误等个人原因导致审查未通过的后果自负。</w:t>
      </w:r>
    </w:p>
    <w:p w14:paraId="0960A5B4">
      <w:pPr>
        <w:spacing w:line="560" w:lineRule="exact"/>
        <w:ind w:firstLine="643" w:firstLineChars="200"/>
        <w:rPr>
          <w:rFonts w:ascii="楷体" w:hAnsi="楷体" w:eastAsia="楷体" w:cs="楷体"/>
          <w:b/>
          <w:bCs/>
          <w:sz w:val="32"/>
          <w:szCs w:val="32"/>
        </w:rPr>
      </w:pPr>
      <w:r>
        <w:rPr>
          <w:rFonts w:hint="eastAsia" w:ascii="仿宋" w:hAnsi="仿宋" w:eastAsia="仿宋" w:cs="仿宋"/>
          <w:b/>
          <w:bCs/>
          <w:sz w:val="32"/>
          <w:szCs w:val="32"/>
        </w:rPr>
        <w:t>（三）资格初审</w:t>
      </w:r>
    </w:p>
    <w:p w14:paraId="77B41DE3">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rPr>
        <w:t>满洲里市边境经济合作区管理委员会人才引进工作领导小组负责对报名人员进行资格初审，</w:t>
      </w:r>
      <w:r>
        <w:rPr>
          <w:rFonts w:hint="eastAsia" w:ascii="仿宋" w:hAnsi="仿宋" w:eastAsia="仿宋"/>
          <w:sz w:val="32"/>
          <w:szCs w:val="32"/>
          <w:highlight w:val="none"/>
        </w:rPr>
        <w:t>在报名结束后进行，审核结果在3个工作日内以电话和邮箱形式同时通知报名人员。</w:t>
      </w:r>
    </w:p>
    <w:p w14:paraId="79E722D0">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报名人员务必保持通讯畅通，若因个人原因导致未能及时联系上本人的，按自动放弃处理，取消其相应资格。</w:t>
      </w:r>
    </w:p>
    <w:p w14:paraId="3C877073">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人岗相适评估时间、地点及具体要求将由满洲里市边境经济合作区管理委员会人才引进工作领导小组负责电话通知符合条件的报名人员本人，因报名人员个人原因导致未能及时联系上的，按自动放弃处理，取消其相应资格。</w:t>
      </w:r>
    </w:p>
    <w:p w14:paraId="668EB84E">
      <w:pPr>
        <w:spacing w:line="560" w:lineRule="exact"/>
        <w:ind w:firstLine="640" w:firstLineChars="200"/>
        <w:rPr>
          <w:rFonts w:ascii="仿宋" w:hAnsi="仿宋" w:eastAsia="仿宋"/>
          <w:sz w:val="32"/>
          <w:szCs w:val="32"/>
        </w:rPr>
      </w:pPr>
      <w:r>
        <w:rPr>
          <w:rFonts w:hint="eastAsia" w:ascii="仿宋" w:hAnsi="仿宋" w:eastAsia="仿宋"/>
          <w:sz w:val="32"/>
          <w:szCs w:val="32"/>
        </w:rPr>
        <w:t>报名人员须持</w:t>
      </w:r>
      <w:r>
        <w:rPr>
          <w:rFonts w:hint="eastAsia" w:ascii="仿宋" w:hAnsi="仿宋" w:eastAsia="仿宋" w:cs="仿宋_GB2312"/>
          <w:sz w:val="32"/>
          <w:szCs w:val="32"/>
        </w:rPr>
        <w:t>《2024年满洲里市边境经济合作区管理委员会所属事业单位</w:t>
      </w:r>
      <w:r>
        <w:rPr>
          <w:rFonts w:hint="eastAsia" w:ascii="仿宋" w:hAnsi="仿宋" w:eastAsia="仿宋" w:cs="仿宋_GB2312"/>
          <w:sz w:val="32"/>
          <w:szCs w:val="32"/>
          <w:highlight w:val="none"/>
        </w:rPr>
        <w:t>人才引进</w:t>
      </w:r>
      <w:r>
        <w:rPr>
          <w:rFonts w:hint="eastAsia" w:ascii="仿宋" w:hAnsi="仿宋" w:eastAsia="仿宋" w:cs="仿宋_GB2312"/>
          <w:sz w:val="32"/>
          <w:szCs w:val="32"/>
        </w:rPr>
        <w:t>报名表》</w:t>
      </w:r>
      <w:r>
        <w:rPr>
          <w:rFonts w:hint="eastAsia" w:ascii="仿宋" w:hAnsi="仿宋" w:eastAsia="仿宋"/>
          <w:sz w:val="32"/>
          <w:szCs w:val="32"/>
        </w:rPr>
        <w:t>、本人居民二代身份证原件在规定的时间</w:t>
      </w:r>
      <w:r>
        <w:rPr>
          <w:rFonts w:hint="eastAsia" w:ascii="仿宋" w:hAnsi="仿宋" w:eastAsia="仿宋"/>
          <w:sz w:val="32"/>
          <w:szCs w:val="32"/>
          <w:lang w:eastAsia="zh-CN"/>
        </w:rPr>
        <w:t>和</w:t>
      </w:r>
      <w:r>
        <w:rPr>
          <w:rFonts w:hint="eastAsia" w:ascii="仿宋" w:hAnsi="仿宋" w:eastAsia="仿宋"/>
          <w:sz w:val="32"/>
          <w:szCs w:val="32"/>
        </w:rPr>
        <w:t>地点参加人岗相适评估，凡未在规定时间和地点参加评估的取消评估资格。</w:t>
      </w:r>
    </w:p>
    <w:p w14:paraId="7CE2BB82">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（四）人岗相适评估</w:t>
      </w:r>
    </w:p>
    <w:p w14:paraId="4628927A">
      <w:pPr>
        <w:spacing w:line="560" w:lineRule="exact"/>
        <w:ind w:firstLine="640" w:firstLineChars="200"/>
        <w:rPr>
          <w:rFonts w:ascii="仿宋" w:hAnsi="仿宋" w:eastAsia="仿宋"/>
          <w:sz w:val="32"/>
          <w:szCs w:val="32"/>
        </w:rPr>
      </w:pPr>
      <w:r>
        <w:rPr>
          <w:rFonts w:hint="eastAsia" w:ascii="仿宋" w:hAnsi="仿宋" w:eastAsia="仿宋"/>
          <w:sz w:val="32"/>
          <w:szCs w:val="32"/>
        </w:rPr>
        <w:t>坚持按照“公平、公开、公正”的原则开展。满洲里市边境经济合作区管理委员会人才引进工作领导小组负责对符合条件的报名人员进行人岗相适评估。人岗相适评估工作不设开考比例，设最低合格分数线。</w:t>
      </w:r>
    </w:p>
    <w:p w14:paraId="0C0827CD">
      <w:pPr>
        <w:spacing w:line="560" w:lineRule="exact"/>
        <w:ind w:firstLine="643" w:firstLineChars="200"/>
        <w:rPr>
          <w:rFonts w:ascii="仿宋" w:hAnsi="仿宋" w:eastAsia="仿宋"/>
          <w:b/>
          <w:sz w:val="32"/>
          <w:szCs w:val="32"/>
        </w:rPr>
      </w:pPr>
      <w:r>
        <w:rPr>
          <w:rFonts w:hint="eastAsia" w:ascii="仿宋" w:hAnsi="仿宋" w:eastAsia="仿宋"/>
          <w:b/>
          <w:sz w:val="32"/>
          <w:szCs w:val="32"/>
        </w:rPr>
        <w:t>1.评估方式</w:t>
      </w:r>
    </w:p>
    <w:p w14:paraId="3013BE80">
      <w:pPr>
        <w:pStyle w:val="3"/>
        <w:spacing w:line="560" w:lineRule="exact"/>
        <w:ind w:left="0" w:leftChars="0" w:firstLine="640" w:firstLineChars="200"/>
      </w:pPr>
      <w:r>
        <w:rPr>
          <w:rFonts w:hint="eastAsia" w:ascii="仿宋" w:hAnsi="仿宋" w:eastAsia="仿宋"/>
          <w:sz w:val="32"/>
          <w:szCs w:val="32"/>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14:paraId="04E7ADF7">
      <w:pPr>
        <w:spacing w:line="560" w:lineRule="exact"/>
        <w:ind w:firstLine="643" w:firstLineChars="200"/>
        <w:rPr>
          <w:rFonts w:ascii="仿宋" w:hAnsi="仿宋" w:eastAsia="仿宋"/>
          <w:b/>
          <w:sz w:val="32"/>
          <w:szCs w:val="32"/>
        </w:rPr>
      </w:pPr>
      <w:r>
        <w:rPr>
          <w:rFonts w:hint="eastAsia" w:ascii="仿宋" w:hAnsi="仿宋" w:eastAsia="仿宋"/>
          <w:b/>
          <w:sz w:val="32"/>
          <w:szCs w:val="32"/>
        </w:rPr>
        <w:t>2.评估内容</w:t>
      </w:r>
    </w:p>
    <w:p w14:paraId="3A2BDFE5">
      <w:pPr>
        <w:pStyle w:val="3"/>
        <w:spacing w:line="560" w:lineRule="exact"/>
        <w:ind w:left="0" w:leftChars="0" w:firstLine="640" w:firstLineChars="200"/>
      </w:pPr>
      <w:r>
        <w:rPr>
          <w:rFonts w:hint="eastAsia" w:ascii="仿宋" w:hAnsi="仿宋" w:eastAsia="仿宋"/>
          <w:sz w:val="32"/>
          <w:szCs w:val="32"/>
        </w:rPr>
        <w:t>评估主要考察报名人员与岗位相适应的理论水平、专业知识、业务能力、综合素质或工作技能。</w:t>
      </w:r>
    </w:p>
    <w:p w14:paraId="72D52E09">
      <w:pPr>
        <w:spacing w:line="560" w:lineRule="exact"/>
        <w:ind w:firstLine="643" w:firstLineChars="200"/>
        <w:rPr>
          <w:rFonts w:ascii="仿宋" w:hAnsi="仿宋" w:eastAsia="仿宋"/>
          <w:b/>
          <w:sz w:val="32"/>
          <w:szCs w:val="32"/>
        </w:rPr>
      </w:pPr>
      <w:r>
        <w:rPr>
          <w:rFonts w:hint="eastAsia" w:ascii="仿宋" w:hAnsi="仿宋" w:eastAsia="仿宋"/>
          <w:b/>
          <w:sz w:val="32"/>
          <w:szCs w:val="32"/>
        </w:rPr>
        <w:t>3.评估方法</w:t>
      </w:r>
    </w:p>
    <w:p w14:paraId="7520068B">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eastAsia="zh-CN"/>
        </w:rPr>
        <w:t>满洲里市边境经济合作区管理委员会一楼公示栏</w:t>
      </w:r>
      <w:r>
        <w:rPr>
          <w:rFonts w:hint="eastAsia" w:ascii="仿宋" w:hAnsi="仿宋" w:eastAsia="仿宋"/>
          <w:sz w:val="32"/>
          <w:szCs w:val="32"/>
          <w:highlight w:val="none"/>
        </w:rPr>
        <w:t>公示。</w:t>
      </w:r>
    </w:p>
    <w:p w14:paraId="736204DD">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笔试成绩超过最低分数60分（不含60分）的由高到低排序，以引进岗位人数1:6差额比例确定面试人员名单；在考生总成绩相同的情况下，以结构化面试成绩较高者优先进入下一环节。</w:t>
      </w:r>
    </w:p>
    <w:p w14:paraId="52843513">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14:paraId="55F9E807">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（五）资格复审</w:t>
      </w:r>
    </w:p>
    <w:p w14:paraId="28670E8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满洲里市边境经济合作区管理委员会人才引进工作领导小组负责电话通知通过人岗相适评估的拟引进人员在5个工作日内提交复审材料及本人人事档案。人事档案审核标准按照《干部人事档案工作条例》执行。经资格复审及人事档案审核不合格的，取消引进资格；审核合格的，进入体检环节。体检时间及地点另行通知。</w:t>
      </w:r>
    </w:p>
    <w:p w14:paraId="32526A6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四、体检和考察</w:t>
      </w:r>
    </w:p>
    <w:p w14:paraId="2A688FA6">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（一）体检</w:t>
      </w:r>
    </w:p>
    <w:p w14:paraId="2FC3FC61">
      <w:pPr>
        <w:spacing w:line="560" w:lineRule="exact"/>
        <w:ind w:firstLine="640" w:firstLineChars="200"/>
        <w:rPr>
          <w:rFonts w:ascii="仿宋" w:hAnsi="仿宋" w:eastAsia="仿宋"/>
          <w:sz w:val="32"/>
          <w:szCs w:val="32"/>
        </w:rPr>
      </w:pPr>
      <w:r>
        <w:rPr>
          <w:rFonts w:hint="eastAsia" w:ascii="仿宋" w:hAnsi="仿宋" w:eastAsia="仿宋"/>
          <w:sz w:val="32"/>
          <w:szCs w:val="32"/>
        </w:rPr>
        <w:t>体检标准参照《公务员录用体检通用标准》执行，费用自理。体检对象或者用人单位对体检结果有疑问的，可以进行复检。复检应在接到体检结论通知之日起7日内向满洲里市人社局提交复检申请，复检只能进行一次，费用自理，体检结果以复检结论为准。对无正当理由拒不参加体检的、在体检过程中弄虚作假或者隐瞒真实情况致使体检结果失真的，取消引进资格。体检合格人员进入考察环节。</w:t>
      </w:r>
    </w:p>
    <w:p w14:paraId="405D9C85">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（二）考察</w:t>
      </w:r>
    </w:p>
    <w:p w14:paraId="5ED674F8">
      <w:pPr>
        <w:pStyle w:val="3"/>
        <w:spacing w:line="560" w:lineRule="exact"/>
        <w:ind w:left="0" w:leftChars="0" w:firstLine="640" w:firstLineChars="200"/>
        <w:rPr>
          <w:rFonts w:ascii="仿宋_GB2312" w:hAnsi="仿宋_GB2312" w:eastAsia="仿宋_GB2312" w:cs="仿宋_GB2312"/>
          <w:kern w:val="0"/>
          <w:sz w:val="32"/>
          <w:szCs w:val="32"/>
        </w:rPr>
      </w:pPr>
      <w:r>
        <w:rPr>
          <w:rFonts w:hint="eastAsia" w:ascii="仿宋" w:hAnsi="仿宋" w:eastAsia="仿宋"/>
          <w:sz w:val="32"/>
          <w:szCs w:val="32"/>
        </w:rPr>
        <w:t>考察工作由满洲里市边境经济合作区管理委员会人才引进工作领导小组负责组织实施。</w:t>
      </w:r>
      <w:r>
        <w:rPr>
          <w:rFonts w:hint="eastAsia" w:ascii="仿宋" w:hAnsi="仿宋" w:eastAsia="仿宋" w:cs="仿宋_GB2312"/>
          <w:sz w:val="32"/>
          <w:szCs w:val="32"/>
        </w:rPr>
        <w:t>考察工作突出政治标准，重点考察引进人员是否符合拥护“两个确立”、增强“四个意识”、坚定“四个自信”、做到“两个维护”，是否铸牢中华民族共同体意识，是否牢记“三个离不开”、切实增强“五个认同”等政治要求，坚决把政治上不合格的挡在门外。考察内容主要包括引进人员的思想政治表现、道德品行、能力素质、学习和工作表现、遵纪守法（包括无违法违纪、无犯罪记录证明）、廉洁自律以及是否需要回避等方面情况。一般采取个别谈话、实地走访、审核人事档案、查询社会信用记录、同考察人员面谈等方式，并形成具体的考察结论。</w:t>
      </w:r>
    </w:p>
    <w:p w14:paraId="22180D0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五、公示及聘用</w:t>
      </w:r>
    </w:p>
    <w:p w14:paraId="0EA07081">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（一）公示</w:t>
      </w:r>
    </w:p>
    <w:p w14:paraId="0102212C">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对拟引进人员在满洲里市人民政府网站进行公示</w:t>
      </w:r>
      <w:r>
        <w:rPr>
          <w:rFonts w:hint="eastAsia" w:ascii="仿宋" w:hAnsi="仿宋" w:eastAsia="仿宋" w:cs="仿宋_GB2312"/>
          <w:sz w:val="32"/>
          <w:szCs w:val="32"/>
        </w:rPr>
        <w:t>，公示期间接受社会监督举报，公示期不少于5个工作日。公示期内</w:t>
      </w:r>
      <w:r>
        <w:rPr>
          <w:rFonts w:hint="eastAsia" w:ascii="仿宋" w:hAnsi="仿宋" w:eastAsia="仿宋" w:cs="仿宋_GB2312"/>
          <w:sz w:val="32"/>
          <w:szCs w:val="32"/>
          <w:lang w:eastAsia="zh-CN"/>
        </w:rPr>
        <w:t>，</w:t>
      </w:r>
      <w:r>
        <w:rPr>
          <w:rFonts w:hint="eastAsia" w:ascii="仿宋" w:hAnsi="仿宋" w:eastAsia="仿宋" w:cs="仿宋_GB2312"/>
          <w:sz w:val="32"/>
          <w:szCs w:val="32"/>
        </w:rPr>
        <w:t>对反映有问题的，</w:t>
      </w:r>
      <w:r>
        <w:rPr>
          <w:rFonts w:hint="eastAsia" w:ascii="仿宋" w:hAnsi="仿宋" w:eastAsia="仿宋" w:cs="仿宋_GB2312"/>
          <w:sz w:val="32"/>
          <w:szCs w:val="32"/>
          <w:lang w:eastAsia="zh-CN"/>
        </w:rPr>
        <w:t>经</w:t>
      </w:r>
      <w:r>
        <w:rPr>
          <w:rFonts w:hint="eastAsia" w:ascii="仿宋" w:hAnsi="仿宋" w:eastAsia="仿宋" w:cs="仿宋_GB2312"/>
          <w:sz w:val="32"/>
          <w:szCs w:val="32"/>
        </w:rPr>
        <w:t>满洲里市边境经济合作区管理委员会人才引进工作领导小组调查核实并做出结论后，提交相关会议研究决定；对反映有严重问题并查有实据的，取消引进资格。</w:t>
      </w:r>
    </w:p>
    <w:p w14:paraId="6BA98529">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（二）聘用</w:t>
      </w:r>
    </w:p>
    <w:p w14:paraId="4F36279D">
      <w:pPr>
        <w:spacing w:line="560" w:lineRule="exact"/>
        <w:ind w:firstLine="640" w:firstLineChars="200"/>
        <w:rPr>
          <w:rFonts w:ascii="仿宋_GB2312" w:eastAsia="仿宋_GB2312"/>
          <w:sz w:val="32"/>
          <w:szCs w:val="32"/>
        </w:rPr>
      </w:pPr>
      <w:r>
        <w:rPr>
          <w:rFonts w:hint="eastAsia" w:ascii="仿宋_GB2312" w:eastAsia="仿宋_GB2312"/>
          <w:sz w:val="32"/>
          <w:szCs w:val="32"/>
        </w:rPr>
        <w:t>公示期满没有问题的，提交相关会议审议通过后，下发引进通知，用人单位为引进人员办理引进手续。</w:t>
      </w:r>
    </w:p>
    <w:p w14:paraId="476AB4C0">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（三）试用期及服务期</w:t>
      </w:r>
    </w:p>
    <w:p w14:paraId="597DC016">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引进人员实行试用期制度，引进人员属初次就业的，试用期为12个月；其他引进人员，试用期一般不超过3个月，情况特殊的，可以延长，但最长不得超过6个月。试用期结束后，由满洲里市</w:t>
      </w:r>
      <w:r>
        <w:rPr>
          <w:rFonts w:hint="eastAsia" w:ascii="仿宋" w:hAnsi="仿宋" w:eastAsia="仿宋" w:cs="仿宋_GB2312"/>
          <w:sz w:val="32"/>
          <w:szCs w:val="32"/>
          <w:lang w:eastAsia="zh-CN"/>
        </w:rPr>
        <w:t>边境经济合作区管理委员会</w:t>
      </w:r>
      <w:r>
        <w:rPr>
          <w:rFonts w:hint="eastAsia" w:ascii="仿宋" w:hAnsi="仿宋" w:eastAsia="仿宋" w:cs="仿宋_GB2312"/>
          <w:sz w:val="32"/>
          <w:szCs w:val="32"/>
        </w:rPr>
        <w:t>人才引进工作领导小组对引进人员进行考核。考核合格的，予以正式聘用；考核不合格的，办理解聘手续。</w:t>
      </w:r>
    </w:p>
    <w:p w14:paraId="21A82F7D">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引进人员在满洲里市最低工作服务年限为五年。对无正当理由放弃的或不履行最低工作服务年限的，将记入本人诚信档案，并追缴回相应补贴资金。</w:t>
      </w:r>
    </w:p>
    <w:p w14:paraId="6A8475D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六、纪律和监督</w:t>
      </w:r>
    </w:p>
    <w:p w14:paraId="5FB9B9FB">
      <w:pPr>
        <w:spacing w:line="560" w:lineRule="exact"/>
        <w:ind w:firstLine="643" w:firstLineChars="200"/>
        <w:rPr>
          <w:rFonts w:hint="eastAsia" w:ascii="仿宋" w:hAnsi="仿宋" w:eastAsia="仿宋"/>
          <w:sz w:val="32"/>
          <w:szCs w:val="32"/>
        </w:rPr>
      </w:pPr>
      <w:r>
        <w:rPr>
          <w:rFonts w:hint="eastAsia" w:ascii="楷体" w:hAnsi="楷体" w:eastAsia="楷体" w:cs="楷体"/>
          <w:b/>
          <w:bCs/>
          <w:sz w:val="32"/>
          <w:szCs w:val="32"/>
        </w:rPr>
        <w:t>（一）人才引进工作实行回避制度。</w:t>
      </w:r>
      <w:r>
        <w:rPr>
          <w:rFonts w:hint="eastAsia" w:ascii="仿宋" w:hAnsi="仿宋" w:eastAsia="仿宋"/>
          <w:sz w:val="32"/>
          <w:szCs w:val="32"/>
        </w:rPr>
        <w:t>应聘人员凡与用人单位班子成员有夫妻关系、直系血亲关系、三代以内旁系血亲关系或者近姻亲等关系的，不得应聘具有直接上下级领导关系的岗位，以及</w:t>
      </w:r>
      <w:r>
        <w:rPr>
          <w:rFonts w:hint="eastAsia" w:ascii="仿宋" w:hAnsi="仿宋" w:eastAsia="仿宋"/>
          <w:sz w:val="32"/>
          <w:szCs w:val="32"/>
          <w:lang w:eastAsia="zh-CN"/>
        </w:rPr>
        <w:t>开发区</w:t>
      </w:r>
      <w:r>
        <w:rPr>
          <w:rFonts w:hint="eastAsia" w:ascii="仿宋" w:hAnsi="仿宋" w:eastAsia="仿宋"/>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14:paraId="1DE4CC58">
      <w:pPr>
        <w:spacing w:line="560" w:lineRule="exact"/>
        <w:ind w:firstLine="643" w:firstLineChars="200"/>
        <w:rPr>
          <w:rFonts w:ascii="仿宋" w:hAnsi="仿宋" w:eastAsia="仿宋"/>
          <w:sz w:val="32"/>
          <w:szCs w:val="32"/>
        </w:rPr>
      </w:pPr>
      <w:r>
        <w:rPr>
          <w:rFonts w:hint="eastAsia" w:ascii="楷体" w:hAnsi="楷体" w:eastAsia="楷体" w:cs="楷体"/>
          <w:b/>
          <w:bCs/>
          <w:sz w:val="32"/>
          <w:szCs w:val="32"/>
        </w:rPr>
        <w:t>（二）人才引进工作实行责任追究制度。</w:t>
      </w:r>
      <w:r>
        <w:rPr>
          <w:rFonts w:hint="eastAsia" w:ascii="仿宋" w:hAnsi="仿宋" w:eastAsia="仿宋"/>
          <w:sz w:val="32"/>
          <w:szCs w:val="32"/>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14:paraId="4AF1ADD3">
      <w:pPr>
        <w:spacing w:line="560" w:lineRule="exact"/>
        <w:ind w:firstLine="643" w:firstLineChars="200"/>
        <w:rPr>
          <w:rFonts w:ascii="仿宋" w:hAnsi="仿宋" w:eastAsia="仿宋"/>
          <w:sz w:val="32"/>
          <w:szCs w:val="32"/>
        </w:rPr>
      </w:pPr>
      <w:r>
        <w:rPr>
          <w:rFonts w:hint="eastAsia" w:ascii="楷体" w:hAnsi="楷体" w:eastAsia="楷体" w:cs="楷体"/>
          <w:b/>
          <w:bCs/>
          <w:sz w:val="32"/>
          <w:szCs w:val="32"/>
        </w:rPr>
        <w:t>（三）人才引进全程接受社会监督。</w:t>
      </w:r>
      <w:r>
        <w:rPr>
          <w:rFonts w:hint="eastAsia" w:ascii="仿宋" w:hAnsi="仿宋" w:eastAsia="仿宋"/>
          <w:sz w:val="32"/>
          <w:szCs w:val="32"/>
        </w:rPr>
        <w:t>资格审查贯穿引才全过程，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14:paraId="5A6788E0">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报名咨询电话：0470-</w:t>
      </w:r>
      <w:r>
        <w:rPr>
          <w:rFonts w:hint="eastAsia" w:ascii="仿宋" w:hAnsi="仿宋" w:eastAsia="仿宋" w:cs="仿宋_GB2312"/>
          <w:sz w:val="32"/>
          <w:szCs w:val="32"/>
        </w:rPr>
        <w:t>62606</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0；0470-62606</w:t>
      </w:r>
      <w:r>
        <w:rPr>
          <w:rFonts w:hint="eastAsia" w:ascii="仿宋" w:hAnsi="仿宋" w:eastAsia="仿宋" w:cs="仿宋_GB2312"/>
          <w:sz w:val="32"/>
          <w:szCs w:val="32"/>
          <w:lang w:val="en-US" w:eastAsia="zh-CN"/>
        </w:rPr>
        <w:t>20</w:t>
      </w:r>
    </w:p>
    <w:p w14:paraId="0D330C6D">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监督举报电话：0470-6260617</w:t>
      </w:r>
    </w:p>
    <w:p w14:paraId="1786AE08">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电话受理时间：上午9:00-12:00，下午14:30-17:30（工作日）</w:t>
      </w:r>
    </w:p>
    <w:p w14:paraId="21455A0B">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本公告由满洲里市边境经济合作区管理委员会人才引进工作领导小组负责解释，未尽事宜按有关规定执行。</w:t>
      </w:r>
    </w:p>
    <w:p w14:paraId="671A90C5">
      <w:pPr>
        <w:spacing w:line="560" w:lineRule="exact"/>
        <w:ind w:firstLine="640" w:firstLineChars="200"/>
        <w:rPr>
          <w:rFonts w:ascii="仿宋" w:hAnsi="仿宋" w:eastAsia="仿宋" w:cs="仿宋_GB2312"/>
          <w:sz w:val="32"/>
          <w:szCs w:val="32"/>
        </w:rPr>
      </w:pPr>
    </w:p>
    <w:p w14:paraId="49CDBC2E">
      <w:pPr>
        <w:spacing w:line="560" w:lineRule="exact"/>
        <w:ind w:left="1918" w:leftChars="304" w:hanging="1280" w:hangingChars="400"/>
        <w:rPr>
          <w:rFonts w:hint="eastAsia" w:ascii="仿宋" w:hAnsi="仿宋" w:eastAsia="仿宋" w:cs="仿宋_GB2312"/>
          <w:sz w:val="32"/>
          <w:szCs w:val="32"/>
        </w:rPr>
      </w:pPr>
      <w:r>
        <w:rPr>
          <w:rFonts w:hint="eastAsia" w:ascii="仿宋" w:hAnsi="仿宋" w:eastAsia="仿宋" w:cs="仿宋_GB2312"/>
          <w:sz w:val="32"/>
          <w:szCs w:val="32"/>
        </w:rPr>
        <w:t>附件：</w:t>
      </w:r>
    </w:p>
    <w:p w14:paraId="7C4CF0C0">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ascii="仿宋" w:hAnsi="仿宋" w:eastAsia="仿宋" w:cs="仿宋_GB2312"/>
          <w:sz w:val="32"/>
          <w:szCs w:val="32"/>
        </w:rPr>
      </w:pPr>
      <w:r>
        <w:rPr>
          <w:rFonts w:hint="eastAsia" w:ascii="仿宋" w:hAnsi="仿宋" w:eastAsia="仿宋" w:cs="仿宋_GB2312"/>
          <w:sz w:val="32"/>
          <w:szCs w:val="32"/>
        </w:rPr>
        <w:t>1.《2024年满洲里市边境经济合作区管理委员会所属事业单位人才引进</w:t>
      </w:r>
      <w:r>
        <w:rPr>
          <w:rFonts w:hint="eastAsia" w:ascii="仿宋" w:hAnsi="仿宋" w:eastAsia="仿宋" w:cs="仿宋_GB2312"/>
          <w:sz w:val="32"/>
          <w:szCs w:val="32"/>
          <w:lang w:val="en-US" w:eastAsia="zh-CN"/>
        </w:rPr>
        <w:t>岗位</w:t>
      </w:r>
      <w:r>
        <w:rPr>
          <w:rFonts w:hint="eastAsia" w:ascii="仿宋" w:hAnsi="仿宋" w:eastAsia="仿宋" w:cs="仿宋_GB2312"/>
          <w:sz w:val="32"/>
          <w:szCs w:val="32"/>
        </w:rPr>
        <w:t>需求表》</w:t>
      </w:r>
    </w:p>
    <w:p w14:paraId="23C6EB07">
      <w:pPr>
        <w:spacing w:line="560" w:lineRule="exact"/>
        <w:ind w:left="636" w:leftChars="303" w:firstLine="0" w:firstLineChars="0"/>
        <w:rPr>
          <w:rFonts w:ascii="仿宋" w:hAnsi="仿宋" w:eastAsia="仿宋" w:cs="仿宋_GB2312"/>
          <w:sz w:val="32"/>
          <w:szCs w:val="32"/>
        </w:rPr>
      </w:pPr>
      <w:r>
        <w:rPr>
          <w:rFonts w:hint="eastAsia" w:ascii="仿宋" w:hAnsi="仿宋" w:eastAsia="仿宋" w:cs="仿宋_GB2312"/>
          <w:sz w:val="32"/>
          <w:szCs w:val="32"/>
        </w:rPr>
        <w:t>2.《2024年满洲里市边境经济合作区管理委员会所属事业单位</w:t>
      </w:r>
      <w:r>
        <w:rPr>
          <w:rFonts w:hint="eastAsia" w:ascii="仿宋" w:hAnsi="仿宋" w:eastAsia="仿宋" w:cs="仿宋_GB2312"/>
          <w:sz w:val="32"/>
          <w:szCs w:val="32"/>
          <w:highlight w:val="none"/>
        </w:rPr>
        <w:t>人才引进</w:t>
      </w:r>
      <w:r>
        <w:rPr>
          <w:rFonts w:hint="eastAsia" w:ascii="仿宋" w:hAnsi="仿宋" w:eastAsia="仿宋" w:cs="仿宋_GB2312"/>
          <w:sz w:val="32"/>
          <w:szCs w:val="32"/>
        </w:rPr>
        <w:t>报名表》</w:t>
      </w:r>
    </w:p>
    <w:p w14:paraId="20D50236">
      <w:pPr>
        <w:spacing w:line="560" w:lineRule="exact"/>
        <w:ind w:left="0" w:leftChars="0"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_GB2312"/>
          <w:sz w:val="32"/>
          <w:szCs w:val="32"/>
          <w:lang w:eastAsia="zh-CN"/>
        </w:rPr>
        <w:t>《</w:t>
      </w:r>
      <w:r>
        <w:rPr>
          <w:rFonts w:hint="eastAsia" w:ascii="仿宋" w:hAnsi="仿宋" w:eastAsia="仿宋" w:cs="仿宋_GB2312"/>
          <w:sz w:val="32"/>
          <w:szCs w:val="32"/>
        </w:rPr>
        <w:t>无不得引进情形承诺书</w:t>
      </w:r>
      <w:r>
        <w:rPr>
          <w:rFonts w:hint="eastAsia" w:ascii="仿宋" w:hAnsi="仿宋" w:eastAsia="仿宋" w:cs="仿宋_GB2312"/>
          <w:sz w:val="32"/>
          <w:szCs w:val="32"/>
          <w:lang w:eastAsia="zh-CN"/>
        </w:rPr>
        <w:t>》</w:t>
      </w:r>
    </w:p>
    <w:p w14:paraId="5715B7FE">
      <w:pPr>
        <w:spacing w:line="560" w:lineRule="exact"/>
        <w:ind w:left="0" w:leftChars="0"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_GB2312"/>
          <w:sz w:val="32"/>
          <w:szCs w:val="32"/>
          <w:lang w:eastAsia="zh-CN"/>
        </w:rPr>
        <w:t>《</w:t>
      </w:r>
      <w:r>
        <w:rPr>
          <w:rFonts w:hint="eastAsia" w:ascii="仿宋" w:hAnsi="仿宋" w:eastAsia="仿宋" w:cs="仿宋_GB2312"/>
          <w:sz w:val="32"/>
          <w:szCs w:val="32"/>
        </w:rPr>
        <w:t>回避承诺书</w:t>
      </w:r>
      <w:r>
        <w:rPr>
          <w:rFonts w:hint="eastAsia" w:ascii="仿宋" w:hAnsi="仿宋" w:eastAsia="仿宋" w:cs="仿宋_GB2312"/>
          <w:sz w:val="32"/>
          <w:szCs w:val="32"/>
          <w:lang w:eastAsia="zh-CN"/>
        </w:rPr>
        <w:t>》</w:t>
      </w:r>
    </w:p>
    <w:p w14:paraId="0FE5B6FA">
      <w:pPr>
        <w:spacing w:line="560" w:lineRule="exact"/>
        <w:ind w:firstLine="2560" w:firstLineChars="800"/>
        <w:rPr>
          <w:rFonts w:ascii="仿宋" w:hAnsi="仿宋" w:eastAsia="仿宋" w:cs="仿宋_GB2312"/>
          <w:sz w:val="32"/>
          <w:szCs w:val="32"/>
        </w:rPr>
      </w:pPr>
    </w:p>
    <w:p w14:paraId="3154571B">
      <w:pPr>
        <w:pStyle w:val="2"/>
        <w:ind w:left="0" w:leftChars="0" w:firstLine="0" w:firstLineChars="0"/>
      </w:pPr>
    </w:p>
    <w:p w14:paraId="0E0BBB3E">
      <w:pPr>
        <w:spacing w:line="560" w:lineRule="exact"/>
        <w:ind w:firstLine="2560" w:firstLineChars="800"/>
        <w:rPr>
          <w:rFonts w:ascii="仿宋" w:hAnsi="仿宋" w:eastAsia="仿宋" w:cs="仿宋_GB2312"/>
          <w:sz w:val="32"/>
          <w:szCs w:val="32"/>
        </w:rPr>
      </w:pPr>
    </w:p>
    <w:p w14:paraId="21BE4747">
      <w:pPr>
        <w:spacing w:line="560" w:lineRule="exact"/>
        <w:ind w:firstLine="2560" w:firstLineChars="800"/>
        <w:rPr>
          <w:rFonts w:ascii="仿宋" w:hAnsi="仿宋" w:eastAsia="仿宋" w:cs="仿宋_GB2312"/>
          <w:sz w:val="32"/>
          <w:szCs w:val="32"/>
        </w:rPr>
      </w:pPr>
    </w:p>
    <w:p w14:paraId="12C102A0">
      <w:pPr>
        <w:spacing w:line="560" w:lineRule="exact"/>
        <w:ind w:firstLine="3200" w:firstLineChars="1000"/>
        <w:rPr>
          <w:rFonts w:hint="eastAsia" w:ascii="仿宋" w:hAnsi="仿宋" w:eastAsia="仿宋" w:cs="仿宋_GB2312"/>
          <w:sz w:val="32"/>
          <w:szCs w:val="32"/>
        </w:rPr>
      </w:pPr>
      <w:r>
        <w:rPr>
          <w:rFonts w:hint="eastAsia" w:ascii="仿宋" w:hAnsi="仿宋" w:eastAsia="仿宋" w:cs="仿宋_GB2312"/>
          <w:sz w:val="32"/>
          <w:szCs w:val="32"/>
        </w:rPr>
        <w:t>满洲里市边境经济合作区管理委员会</w:t>
      </w:r>
    </w:p>
    <w:p w14:paraId="44B4D0EB">
      <w:pPr>
        <w:spacing w:line="560" w:lineRule="exact"/>
        <w:ind w:firstLine="4160" w:firstLineChars="13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人才引进工作领导小组</w:t>
      </w:r>
    </w:p>
    <w:p w14:paraId="7BD37896">
      <w:pPr>
        <w:spacing w:line="560" w:lineRule="exact"/>
        <w:ind w:firstLine="4480" w:firstLineChars="14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2024年</w:t>
      </w:r>
      <w:r>
        <w:rPr>
          <w:rFonts w:hint="eastAsia" w:ascii="仿宋" w:hAnsi="仿宋" w:eastAsia="仿宋" w:cs="仿宋_GB2312"/>
          <w:sz w:val="32"/>
          <w:szCs w:val="32"/>
          <w:highlight w:val="none"/>
          <w:lang w:val="en-US" w:eastAsia="zh-CN"/>
        </w:rPr>
        <w:t>9</w:t>
      </w:r>
      <w:r>
        <w:rPr>
          <w:rFonts w:hint="eastAsia" w:ascii="仿宋" w:hAnsi="仿宋" w:eastAsia="仿宋" w:cs="仿宋_GB2312"/>
          <w:sz w:val="32"/>
          <w:szCs w:val="32"/>
          <w:highlight w:val="none"/>
        </w:rPr>
        <w:t>月</w:t>
      </w:r>
      <w:r>
        <w:rPr>
          <w:rFonts w:hint="eastAsia" w:ascii="仿宋" w:hAnsi="仿宋" w:eastAsia="仿宋" w:cs="仿宋_GB2312"/>
          <w:sz w:val="32"/>
          <w:szCs w:val="32"/>
          <w:highlight w:val="none"/>
          <w:lang w:val="en-US" w:eastAsia="zh-CN"/>
        </w:rPr>
        <w:t>25</w:t>
      </w:r>
      <w:r>
        <w:rPr>
          <w:rFonts w:hint="eastAsia" w:ascii="仿宋" w:hAnsi="仿宋" w:eastAsia="仿宋" w:cs="仿宋_GB2312"/>
          <w:sz w:val="32"/>
          <w:szCs w:val="32"/>
          <w:highlight w:val="none"/>
        </w:rPr>
        <w:t>日</w:t>
      </w:r>
    </w:p>
    <w:p w14:paraId="68C5C2B1">
      <w:pPr>
        <w:pStyle w:val="3"/>
      </w:pPr>
    </w:p>
    <w:p w14:paraId="7E99102A">
      <w:pPr>
        <w:spacing w:line="560" w:lineRule="exact"/>
        <w:ind w:firstLine="640" w:firstLineChars="200"/>
        <w:jc w:val="right"/>
        <w:rPr>
          <w:rFonts w:ascii="仿宋" w:hAnsi="仿宋" w:eastAsia="仿宋" w:cs="仿宋"/>
          <w:sz w:val="32"/>
          <w:szCs w:val="32"/>
        </w:rPr>
        <w:sectPr>
          <w:footerReference r:id="rId3" w:type="default"/>
          <w:pgSz w:w="11906" w:h="16838"/>
          <w:pgMar w:top="1440" w:right="1588" w:bottom="1440" w:left="1588" w:header="851" w:footer="992" w:gutter="0"/>
          <w:cols w:space="720" w:num="1"/>
          <w:docGrid w:type="lines" w:linePitch="312" w:charSpace="0"/>
        </w:sectPr>
      </w:pPr>
    </w:p>
    <w:tbl>
      <w:tblPr>
        <w:tblStyle w:val="7"/>
        <w:tblpPr w:leftFromText="180" w:rightFromText="180" w:vertAnchor="text" w:horzAnchor="page" w:tblpX="972" w:tblpY="691"/>
        <w:tblOverlap w:val="never"/>
        <w:tblW w:w="15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1"/>
        <w:gridCol w:w="780"/>
        <w:gridCol w:w="841"/>
        <w:gridCol w:w="495"/>
        <w:gridCol w:w="420"/>
        <w:gridCol w:w="585"/>
        <w:gridCol w:w="585"/>
        <w:gridCol w:w="600"/>
        <w:gridCol w:w="1455"/>
        <w:gridCol w:w="2295"/>
        <w:gridCol w:w="3765"/>
        <w:gridCol w:w="1769"/>
        <w:gridCol w:w="1245"/>
      </w:tblGrid>
      <w:tr w14:paraId="3876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266" w:type="dxa"/>
            <w:gridSpan w:val="13"/>
            <w:tcBorders>
              <w:top w:val="nil"/>
              <w:left w:val="nil"/>
              <w:bottom w:val="single" w:color="000000" w:sz="4" w:space="0"/>
              <w:right w:val="nil"/>
            </w:tcBorders>
            <w:noWrap w:val="0"/>
            <w:vAlign w:val="center"/>
          </w:tcPr>
          <w:p w14:paraId="1CCA38E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Style w:val="10"/>
                <w:lang w:val="en-US" w:eastAsia="zh-CN" w:bidi="ar"/>
              </w:rPr>
              <w:t>2024年满洲里</w:t>
            </w:r>
            <w:r>
              <w:rPr>
                <w:rStyle w:val="10"/>
                <w:highlight w:val="none"/>
                <w:lang w:val="en-US" w:eastAsia="zh-CN" w:bidi="ar"/>
              </w:rPr>
              <w:t>市</w:t>
            </w:r>
            <w:r>
              <w:rPr>
                <w:rStyle w:val="10"/>
                <w:rFonts w:hint="eastAsia"/>
                <w:highlight w:val="none"/>
                <w:lang w:val="en-US" w:eastAsia="zh-CN" w:bidi="ar"/>
              </w:rPr>
              <w:t>边境经济合作区管理委员会所属事业单位人才引进岗位需求表</w:t>
            </w:r>
          </w:p>
        </w:tc>
      </w:tr>
      <w:tr w14:paraId="417B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431" w:type="dxa"/>
            <w:tcBorders>
              <w:top w:val="single" w:color="000000" w:sz="4" w:space="0"/>
              <w:left w:val="single" w:color="000000" w:sz="4" w:space="0"/>
              <w:bottom w:val="single" w:color="000000" w:sz="4" w:space="0"/>
              <w:right w:val="single" w:color="000000" w:sz="4" w:space="0"/>
            </w:tcBorders>
            <w:noWrap/>
            <w:vAlign w:val="center"/>
          </w:tcPr>
          <w:p w14:paraId="02CA32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A9F8A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5BEAC37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引进</w:t>
            </w:r>
          </w:p>
          <w:p w14:paraId="51B288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2DEBF4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岗位名称</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639EB8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引进人数</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7BBDB6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学历要求</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2C6CAC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学历类别</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75F4ACC">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学位</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3B7CF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3C236D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3765" w:type="dxa"/>
            <w:tcBorders>
              <w:top w:val="single" w:color="000000" w:sz="4" w:space="0"/>
              <w:left w:val="single" w:color="000000" w:sz="4" w:space="0"/>
              <w:bottom w:val="single" w:color="000000" w:sz="4" w:space="0"/>
              <w:right w:val="single" w:color="000000" w:sz="4" w:space="0"/>
            </w:tcBorders>
            <w:noWrap/>
            <w:vAlign w:val="center"/>
          </w:tcPr>
          <w:p w14:paraId="0705C9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其他资格条件</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0358E3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联系电话</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D33CF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电子邮箱</w:t>
            </w:r>
          </w:p>
        </w:tc>
      </w:tr>
      <w:tr w14:paraId="54DC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6" w:hRule="atLeast"/>
        </w:trPr>
        <w:tc>
          <w:tcPr>
            <w:tcW w:w="431" w:type="dxa"/>
            <w:vMerge w:val="restart"/>
            <w:tcBorders>
              <w:top w:val="single" w:color="000000" w:sz="4" w:space="0"/>
              <w:left w:val="single" w:color="000000" w:sz="4" w:space="0"/>
              <w:right w:val="single" w:color="000000" w:sz="4" w:space="0"/>
            </w:tcBorders>
            <w:noWrap/>
            <w:vAlign w:val="center"/>
          </w:tcPr>
          <w:p w14:paraId="1BCDC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vMerge w:val="restart"/>
            <w:tcBorders>
              <w:top w:val="single" w:color="000000" w:sz="4" w:space="0"/>
              <w:left w:val="single" w:color="000000" w:sz="4" w:space="0"/>
              <w:right w:val="single" w:color="000000" w:sz="4" w:space="0"/>
            </w:tcBorders>
            <w:noWrap w:val="0"/>
            <w:vAlign w:val="center"/>
          </w:tcPr>
          <w:p w14:paraId="0DB20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满洲里市边境经济合作区</w:t>
            </w:r>
            <w:r>
              <w:rPr>
                <w:rFonts w:hint="eastAsia" w:ascii="宋体" w:hAnsi="宋体" w:cs="宋体"/>
                <w:i w:val="0"/>
                <w:iCs w:val="0"/>
                <w:color w:val="000000"/>
                <w:kern w:val="0"/>
                <w:sz w:val="20"/>
                <w:szCs w:val="20"/>
                <w:u w:val="none"/>
                <w:lang w:val="en-US" w:eastAsia="zh-CN" w:bidi="ar"/>
              </w:rPr>
              <w:t>管理委员会</w:t>
            </w:r>
          </w:p>
        </w:tc>
        <w:tc>
          <w:tcPr>
            <w:tcW w:w="841" w:type="dxa"/>
            <w:vMerge w:val="restart"/>
            <w:tcBorders>
              <w:top w:val="single" w:color="000000" w:sz="4" w:space="0"/>
              <w:left w:val="single" w:color="000000" w:sz="4" w:space="0"/>
              <w:right w:val="single" w:color="000000" w:sz="4" w:space="0"/>
            </w:tcBorders>
            <w:noWrap w:val="0"/>
            <w:vAlign w:val="center"/>
          </w:tcPr>
          <w:p w14:paraId="35851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满洲里市边境经济合作区公共事业发展中心</w:t>
            </w:r>
          </w:p>
        </w:tc>
        <w:tc>
          <w:tcPr>
            <w:tcW w:w="495" w:type="dxa"/>
            <w:vMerge w:val="restart"/>
            <w:tcBorders>
              <w:top w:val="single" w:color="000000" w:sz="4" w:space="0"/>
              <w:left w:val="single" w:color="000000" w:sz="4" w:space="0"/>
              <w:right w:val="single" w:color="000000" w:sz="4" w:space="0"/>
            </w:tcBorders>
            <w:noWrap w:val="0"/>
            <w:vAlign w:val="center"/>
          </w:tcPr>
          <w:p w14:paraId="72F07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w:t>
            </w:r>
            <w:r>
              <w:rPr>
                <w:rFonts w:hint="eastAsia" w:ascii="宋体" w:hAnsi="宋体" w:cs="宋体"/>
                <w:i w:val="0"/>
                <w:iCs w:val="0"/>
                <w:color w:val="000000"/>
                <w:kern w:val="0"/>
                <w:sz w:val="20"/>
                <w:szCs w:val="20"/>
                <w:u w:val="none"/>
                <w:lang w:val="en-US" w:eastAsia="zh-CN" w:bidi="ar"/>
              </w:rPr>
              <w:t>业</w:t>
            </w:r>
            <w:r>
              <w:rPr>
                <w:rFonts w:hint="eastAsia" w:ascii="宋体" w:hAnsi="宋体" w:eastAsia="宋体" w:cs="宋体"/>
                <w:i w:val="0"/>
                <w:iCs w:val="0"/>
                <w:color w:val="000000"/>
                <w:kern w:val="0"/>
                <w:sz w:val="20"/>
                <w:szCs w:val="20"/>
                <w:u w:val="none"/>
                <w:lang w:val="en-US" w:eastAsia="zh-CN" w:bidi="ar"/>
              </w:rPr>
              <w:t>技</w:t>
            </w:r>
            <w:r>
              <w:rPr>
                <w:rFonts w:hint="eastAsia" w:ascii="宋体" w:hAnsi="宋体" w:cs="宋体"/>
                <w:i w:val="0"/>
                <w:iCs w:val="0"/>
                <w:color w:val="000000"/>
                <w:kern w:val="0"/>
                <w:sz w:val="20"/>
                <w:szCs w:val="20"/>
                <w:u w:val="none"/>
                <w:lang w:val="en-US" w:eastAsia="zh-CN" w:bidi="ar"/>
              </w:rPr>
              <w:t>术</w:t>
            </w:r>
            <w:r>
              <w:rPr>
                <w:rFonts w:hint="eastAsia" w:ascii="宋体" w:hAnsi="宋体" w:eastAsia="宋体" w:cs="宋体"/>
                <w:i w:val="0"/>
                <w:iCs w:val="0"/>
                <w:color w:val="000000"/>
                <w:kern w:val="0"/>
                <w:sz w:val="20"/>
                <w:szCs w:val="20"/>
                <w:u w:val="none"/>
                <w:lang w:val="en-US" w:eastAsia="zh-CN" w:bidi="ar"/>
              </w:rPr>
              <w:t>岗</w:t>
            </w:r>
          </w:p>
        </w:tc>
        <w:tc>
          <w:tcPr>
            <w:tcW w:w="420" w:type="dxa"/>
            <w:vMerge w:val="restart"/>
            <w:tcBorders>
              <w:top w:val="single" w:color="000000" w:sz="4" w:space="0"/>
              <w:left w:val="single" w:color="000000" w:sz="4" w:space="0"/>
              <w:right w:val="single" w:color="000000" w:sz="4" w:space="0"/>
            </w:tcBorders>
            <w:noWrap w:val="0"/>
            <w:vAlign w:val="center"/>
          </w:tcPr>
          <w:p w14:paraId="0263C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2285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21EB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全日制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1228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学士学位及以上</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A1A8C13">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0813化工与制药类</w:t>
            </w:r>
          </w:p>
          <w:p w14:paraId="0E9DC41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研究生：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0817化学工程与技术</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3B4FE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全日制本科生不超过35周岁，硕士研究生不超过40周岁，博士研究生原则上不超过45周岁。</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14:paraId="23C60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本科生报考应具有一流大学、一流学科建设高校或</w:t>
            </w:r>
            <w:r>
              <w:rPr>
                <w:rFonts w:hint="eastAsia" w:ascii="宋体" w:hAnsi="宋体" w:cs="宋体"/>
                <w:i w:val="0"/>
                <w:iCs w:val="0"/>
                <w:color w:val="000000"/>
                <w:kern w:val="0"/>
                <w:sz w:val="20"/>
                <w:szCs w:val="20"/>
                <w:u w:val="none"/>
                <w:lang w:val="en-US" w:eastAsia="zh-CN" w:bidi="ar"/>
              </w:rPr>
              <w:t>原</w:t>
            </w:r>
            <w:r>
              <w:rPr>
                <w:rFonts w:hint="eastAsia" w:ascii="宋体" w:hAnsi="宋体" w:eastAsia="宋体" w:cs="宋体"/>
                <w:i w:val="0"/>
                <w:iCs w:val="0"/>
                <w:color w:val="000000"/>
                <w:kern w:val="0"/>
                <w:sz w:val="20"/>
                <w:szCs w:val="20"/>
                <w:u w:val="none"/>
                <w:lang w:val="en-US" w:eastAsia="zh-CN" w:bidi="ar"/>
              </w:rPr>
              <w:t>“985”“211”高校相关专业全日制本科学历，并取得相应学位，不超过35周岁；研究生以上学历报考应具有相关专业全日制研究生以上学历并取得相应学位。最低工作服务年限为五年。</w:t>
            </w:r>
          </w:p>
        </w:tc>
        <w:tc>
          <w:tcPr>
            <w:tcW w:w="1769" w:type="dxa"/>
            <w:vMerge w:val="restart"/>
            <w:tcBorders>
              <w:top w:val="single" w:color="000000" w:sz="4" w:space="0"/>
              <w:left w:val="single" w:color="000000" w:sz="4" w:space="0"/>
              <w:right w:val="single" w:color="000000" w:sz="4" w:space="0"/>
            </w:tcBorders>
            <w:noWrap w:val="0"/>
            <w:vAlign w:val="center"/>
          </w:tcPr>
          <w:p w14:paraId="6619F363">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00"/>
                <w:kern w:val="0"/>
                <w:sz w:val="20"/>
                <w:szCs w:val="20"/>
                <w:u w:val="none"/>
                <w:lang w:val="en-US" w:eastAsia="zh-CN" w:bidi="ar"/>
              </w:rPr>
              <w:t>王海霞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04706260620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13191328880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张嘉欣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04706260630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14747049674</w:t>
            </w:r>
          </w:p>
        </w:tc>
        <w:tc>
          <w:tcPr>
            <w:tcW w:w="1245" w:type="dxa"/>
            <w:vMerge w:val="restart"/>
            <w:tcBorders>
              <w:top w:val="single" w:color="000000" w:sz="4" w:space="0"/>
              <w:left w:val="single" w:color="000000" w:sz="4" w:space="0"/>
              <w:right w:val="single" w:color="000000" w:sz="4" w:space="0"/>
            </w:tcBorders>
            <w:noWrap w:val="0"/>
            <w:vAlign w:val="center"/>
          </w:tcPr>
          <w:p w14:paraId="588F9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"mailto:hzqgwhxzb@163.com" </w:instrText>
            </w:r>
            <w:r>
              <w:rPr>
                <w:rFonts w:hint="eastAsia" w:ascii="宋体" w:hAnsi="宋体" w:eastAsia="宋体" w:cs="宋体"/>
                <w:i w:val="0"/>
                <w:iCs w:val="0"/>
                <w:color w:val="000000"/>
                <w:kern w:val="0"/>
                <w:sz w:val="22"/>
                <w:szCs w:val="22"/>
                <w:u w:val="none"/>
                <w:lang w:val="en-US" w:eastAsia="zh-CN" w:bidi="ar"/>
              </w:rPr>
              <w:fldChar w:fldCharType="separate"/>
            </w:r>
            <w:r>
              <w:rPr>
                <w:rStyle w:val="9"/>
                <w:rFonts w:hint="eastAsia" w:ascii="宋体" w:hAnsi="宋体" w:eastAsia="宋体" w:cs="宋体"/>
                <w:i w:val="0"/>
                <w:iCs w:val="0"/>
                <w:color w:val="000000"/>
                <w:sz w:val="22"/>
                <w:szCs w:val="22"/>
                <w:u w:val="none"/>
              </w:rPr>
              <w:t>hzqgwhxzb@163.com</w:t>
            </w:r>
            <w:r>
              <w:rPr>
                <w:rFonts w:hint="eastAsia" w:ascii="宋体" w:hAnsi="宋体" w:eastAsia="宋体" w:cs="宋体"/>
                <w:i w:val="0"/>
                <w:iCs w:val="0"/>
                <w:color w:val="000000"/>
                <w:kern w:val="0"/>
                <w:sz w:val="22"/>
                <w:szCs w:val="22"/>
                <w:u w:val="none"/>
                <w:lang w:val="en-US" w:eastAsia="zh-CN" w:bidi="ar"/>
              </w:rPr>
              <w:fldChar w:fldCharType="end"/>
            </w:r>
          </w:p>
        </w:tc>
      </w:tr>
      <w:tr w14:paraId="4E04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9" w:hRule="atLeast"/>
        </w:trPr>
        <w:tc>
          <w:tcPr>
            <w:tcW w:w="431" w:type="dxa"/>
            <w:vMerge w:val="continue"/>
            <w:tcBorders>
              <w:left w:val="single" w:color="000000" w:sz="4" w:space="0"/>
              <w:bottom w:val="single" w:color="000000" w:sz="4" w:space="0"/>
              <w:right w:val="single" w:color="000000" w:sz="4" w:space="0"/>
            </w:tcBorders>
            <w:noWrap/>
            <w:vAlign w:val="center"/>
          </w:tcPr>
          <w:p w14:paraId="3C7D3E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0" w:type="dxa"/>
            <w:vMerge w:val="continue"/>
            <w:tcBorders>
              <w:left w:val="single" w:color="000000" w:sz="4" w:space="0"/>
              <w:bottom w:val="single" w:color="000000" w:sz="4" w:space="0"/>
              <w:right w:val="single" w:color="000000" w:sz="4" w:space="0"/>
            </w:tcBorders>
            <w:noWrap w:val="0"/>
            <w:vAlign w:val="center"/>
          </w:tcPr>
          <w:p w14:paraId="0AD3E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1" w:type="dxa"/>
            <w:vMerge w:val="continue"/>
            <w:tcBorders>
              <w:left w:val="single" w:color="000000" w:sz="4" w:space="0"/>
              <w:bottom w:val="single" w:color="000000" w:sz="4" w:space="0"/>
              <w:right w:val="single" w:color="000000" w:sz="4" w:space="0"/>
            </w:tcBorders>
            <w:noWrap w:val="0"/>
            <w:vAlign w:val="center"/>
          </w:tcPr>
          <w:p w14:paraId="7A7C2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95" w:type="dxa"/>
            <w:vMerge w:val="continue"/>
            <w:tcBorders>
              <w:left w:val="single" w:color="000000" w:sz="4" w:space="0"/>
              <w:bottom w:val="single" w:color="000000" w:sz="4" w:space="0"/>
              <w:right w:val="single" w:color="000000" w:sz="4" w:space="0"/>
            </w:tcBorders>
            <w:noWrap w:val="0"/>
            <w:vAlign w:val="center"/>
          </w:tcPr>
          <w:p w14:paraId="215FD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20" w:type="dxa"/>
            <w:vMerge w:val="continue"/>
            <w:tcBorders>
              <w:left w:val="single" w:color="000000" w:sz="4" w:space="0"/>
              <w:bottom w:val="single" w:color="000000" w:sz="4" w:space="0"/>
              <w:right w:val="single" w:color="000000" w:sz="4" w:space="0"/>
            </w:tcBorders>
            <w:noWrap w:val="0"/>
            <w:vAlign w:val="center"/>
          </w:tcPr>
          <w:p w14:paraId="391B5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5E44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本科及以上</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5D39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国民教育序列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28525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无学位限制</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02718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w:t>
            </w:r>
          </w:p>
          <w:p w14:paraId="6CA60D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w:t>
            </w:r>
          </w:p>
          <w:p w14:paraId="46EE0B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08工学</w:t>
            </w:r>
          </w:p>
          <w:p w14:paraId="3F9F69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12管理学</w:t>
            </w:r>
          </w:p>
          <w:p w14:paraId="06F6A8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w:t>
            </w:r>
          </w:p>
          <w:p w14:paraId="14F2EE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020206国际贸易学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5AB653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不超过40周岁。</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14:paraId="646CF2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取得安全生产领域副高级以上专业技术职称。最低工作服务年限为五年。</w:t>
            </w:r>
          </w:p>
        </w:tc>
        <w:tc>
          <w:tcPr>
            <w:tcW w:w="1769" w:type="dxa"/>
            <w:vMerge w:val="continue"/>
            <w:tcBorders>
              <w:left w:val="single" w:color="000000" w:sz="4" w:space="0"/>
              <w:bottom w:val="single" w:color="000000" w:sz="4" w:space="0"/>
              <w:right w:val="single" w:color="000000" w:sz="4" w:space="0"/>
            </w:tcBorders>
            <w:noWrap w:val="0"/>
            <w:vAlign w:val="center"/>
          </w:tcPr>
          <w:p w14:paraId="203967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45" w:type="dxa"/>
            <w:vMerge w:val="continue"/>
            <w:tcBorders>
              <w:left w:val="single" w:color="000000" w:sz="4" w:space="0"/>
              <w:bottom w:val="single" w:color="000000" w:sz="4" w:space="0"/>
              <w:right w:val="single" w:color="000000" w:sz="4" w:space="0"/>
            </w:tcBorders>
            <w:noWrap w:val="0"/>
            <w:vAlign w:val="center"/>
          </w:tcPr>
          <w:p w14:paraId="10EA1B2C">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p>
        </w:tc>
      </w:tr>
    </w:tbl>
    <w:p w14:paraId="6CAEEC7F">
      <w:pPr>
        <w:spacing w:line="400" w:lineRule="exact"/>
        <w:jc w:val="left"/>
        <w:rPr>
          <w:rFonts w:hint="eastAsia" w:ascii="CESI黑体-GB2312" w:hAnsi="CESI黑体-GB2312" w:eastAsia="CESI黑体-GB2312" w:cs="CESI黑体-GB2312"/>
          <w:b w:val="0"/>
          <w:bCs w:val="0"/>
          <w:color w:val="auto"/>
          <w:kern w:val="0"/>
          <w:sz w:val="32"/>
          <w:szCs w:val="32"/>
        </w:rPr>
      </w:pPr>
      <w:r>
        <w:rPr>
          <w:rFonts w:hint="eastAsia" w:ascii="CESI黑体-GB2312" w:hAnsi="CESI黑体-GB2312" w:eastAsia="CESI黑体-GB2312" w:cs="CESI黑体-GB2312"/>
          <w:b w:val="0"/>
          <w:bCs w:val="0"/>
          <w:color w:val="auto"/>
          <w:kern w:val="0"/>
          <w:sz w:val="32"/>
          <w:szCs w:val="32"/>
        </w:rPr>
        <w:t>附件1：</w:t>
      </w:r>
    </w:p>
    <w:p w14:paraId="69208FBD">
      <w:pPr>
        <w:rPr>
          <w:rFonts w:hint="eastAsia"/>
          <w:lang w:eastAsia="zh-CN"/>
        </w:rPr>
      </w:pPr>
    </w:p>
    <w:tbl>
      <w:tblPr>
        <w:tblStyle w:val="7"/>
        <w:tblpPr w:leftFromText="180" w:rightFromText="180" w:vertAnchor="text" w:horzAnchor="page" w:tblpX="972" w:tblpY="691"/>
        <w:tblOverlap w:val="never"/>
        <w:tblW w:w="15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1"/>
        <w:gridCol w:w="780"/>
        <w:gridCol w:w="841"/>
        <w:gridCol w:w="495"/>
        <w:gridCol w:w="420"/>
        <w:gridCol w:w="585"/>
        <w:gridCol w:w="585"/>
        <w:gridCol w:w="600"/>
        <w:gridCol w:w="1470"/>
        <w:gridCol w:w="2293"/>
        <w:gridCol w:w="3767"/>
        <w:gridCol w:w="1771"/>
        <w:gridCol w:w="1225"/>
      </w:tblGrid>
      <w:tr w14:paraId="0EAB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263" w:type="dxa"/>
            <w:gridSpan w:val="13"/>
            <w:tcBorders>
              <w:top w:val="nil"/>
              <w:left w:val="nil"/>
              <w:bottom w:val="single" w:color="000000" w:sz="4" w:space="0"/>
              <w:right w:val="nil"/>
            </w:tcBorders>
            <w:noWrap w:val="0"/>
            <w:vAlign w:val="center"/>
          </w:tcPr>
          <w:p w14:paraId="082F0A0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Style w:val="10"/>
                <w:lang w:val="en-US" w:eastAsia="zh-CN" w:bidi="ar"/>
              </w:rPr>
              <w:t>2024年满洲里</w:t>
            </w:r>
            <w:r>
              <w:rPr>
                <w:rStyle w:val="10"/>
                <w:highlight w:val="none"/>
                <w:lang w:val="en-US" w:eastAsia="zh-CN" w:bidi="ar"/>
              </w:rPr>
              <w:t>市</w:t>
            </w:r>
            <w:r>
              <w:rPr>
                <w:rStyle w:val="10"/>
                <w:rFonts w:hint="eastAsia"/>
                <w:highlight w:val="none"/>
                <w:lang w:val="en-US" w:eastAsia="zh-CN" w:bidi="ar"/>
              </w:rPr>
              <w:t>边境经济合作区管理委员会所属事业单位人才引进岗位需求表</w:t>
            </w:r>
          </w:p>
        </w:tc>
      </w:tr>
      <w:tr w14:paraId="699D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31" w:type="dxa"/>
            <w:tcBorders>
              <w:top w:val="single" w:color="000000" w:sz="4" w:space="0"/>
              <w:left w:val="single" w:color="000000" w:sz="4" w:space="0"/>
              <w:bottom w:val="single" w:color="000000" w:sz="4" w:space="0"/>
              <w:right w:val="single" w:color="000000" w:sz="4" w:space="0"/>
            </w:tcBorders>
            <w:noWrap/>
            <w:vAlign w:val="center"/>
          </w:tcPr>
          <w:p w14:paraId="20B2BC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F0B62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032668E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引进</w:t>
            </w:r>
          </w:p>
          <w:p w14:paraId="1251EF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36F9D5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岗位名称</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03009D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引进人数</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59780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学历要求</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0A747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学历类别</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046EB18">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学位</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6C275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6784FD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3767" w:type="dxa"/>
            <w:tcBorders>
              <w:top w:val="single" w:color="000000" w:sz="4" w:space="0"/>
              <w:left w:val="single" w:color="000000" w:sz="4" w:space="0"/>
              <w:bottom w:val="single" w:color="000000" w:sz="4" w:space="0"/>
              <w:right w:val="single" w:color="000000" w:sz="4" w:space="0"/>
            </w:tcBorders>
            <w:noWrap/>
            <w:vAlign w:val="center"/>
          </w:tcPr>
          <w:p w14:paraId="3FC3AD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其他资格条件</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80907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联系电话</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B1D10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电子邮箱</w:t>
            </w:r>
          </w:p>
        </w:tc>
      </w:tr>
      <w:tr w14:paraId="010E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6" w:hRule="atLeast"/>
        </w:trPr>
        <w:tc>
          <w:tcPr>
            <w:tcW w:w="431" w:type="dxa"/>
            <w:tcBorders>
              <w:left w:val="single" w:color="000000" w:sz="4" w:space="0"/>
              <w:bottom w:val="single" w:color="000000" w:sz="4" w:space="0"/>
              <w:right w:val="single" w:color="000000" w:sz="4" w:space="0"/>
            </w:tcBorders>
            <w:noWrap/>
            <w:vAlign w:val="center"/>
          </w:tcPr>
          <w:p w14:paraId="784532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780" w:type="dxa"/>
            <w:tcBorders>
              <w:left w:val="single" w:color="000000" w:sz="4" w:space="0"/>
              <w:bottom w:val="single" w:color="000000" w:sz="4" w:space="0"/>
              <w:right w:val="single" w:color="000000" w:sz="4" w:space="0"/>
            </w:tcBorders>
            <w:noWrap w:val="0"/>
            <w:vAlign w:val="center"/>
          </w:tcPr>
          <w:p w14:paraId="541224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满洲里市边境经济合作区</w:t>
            </w:r>
            <w:r>
              <w:rPr>
                <w:rFonts w:hint="eastAsia" w:ascii="宋体" w:hAnsi="宋体" w:cs="宋体"/>
                <w:i w:val="0"/>
                <w:iCs w:val="0"/>
                <w:color w:val="000000"/>
                <w:kern w:val="0"/>
                <w:sz w:val="20"/>
                <w:szCs w:val="20"/>
                <w:u w:val="none"/>
                <w:lang w:val="en-US" w:eastAsia="zh-CN" w:bidi="ar"/>
              </w:rPr>
              <w:t>管理委员会</w:t>
            </w:r>
          </w:p>
        </w:tc>
        <w:tc>
          <w:tcPr>
            <w:tcW w:w="841" w:type="dxa"/>
            <w:tcBorders>
              <w:left w:val="single" w:color="000000" w:sz="4" w:space="0"/>
              <w:bottom w:val="single" w:color="000000" w:sz="4" w:space="0"/>
              <w:right w:val="single" w:color="000000" w:sz="4" w:space="0"/>
            </w:tcBorders>
            <w:noWrap w:val="0"/>
            <w:vAlign w:val="center"/>
          </w:tcPr>
          <w:p w14:paraId="5C685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满洲里市边境经济合作区</w:t>
            </w:r>
            <w:r>
              <w:rPr>
                <w:rFonts w:hint="eastAsia" w:ascii="宋体" w:hAnsi="宋体" w:cs="宋体"/>
                <w:i w:val="0"/>
                <w:iCs w:val="0"/>
                <w:color w:val="000000"/>
                <w:kern w:val="0"/>
                <w:sz w:val="20"/>
                <w:szCs w:val="20"/>
                <w:u w:val="none"/>
                <w:lang w:val="en-US" w:eastAsia="zh-CN" w:bidi="ar"/>
              </w:rPr>
              <w:t>管理委员会</w:t>
            </w:r>
            <w:r>
              <w:rPr>
                <w:rFonts w:hint="eastAsia" w:ascii="宋体" w:hAnsi="宋体" w:eastAsia="宋体" w:cs="宋体"/>
                <w:i w:val="0"/>
                <w:iCs w:val="0"/>
                <w:color w:val="000000"/>
                <w:kern w:val="0"/>
                <w:sz w:val="20"/>
                <w:szCs w:val="20"/>
                <w:u w:val="none"/>
                <w:lang w:val="en-US" w:eastAsia="zh-CN" w:bidi="ar"/>
              </w:rPr>
              <w:t>综合保障中心</w:t>
            </w:r>
          </w:p>
        </w:tc>
        <w:tc>
          <w:tcPr>
            <w:tcW w:w="495" w:type="dxa"/>
            <w:tcBorders>
              <w:left w:val="single" w:color="000000" w:sz="4" w:space="0"/>
              <w:bottom w:val="single" w:color="000000" w:sz="4" w:space="0"/>
              <w:right w:val="single" w:color="000000" w:sz="4" w:space="0"/>
            </w:tcBorders>
            <w:noWrap w:val="0"/>
            <w:vAlign w:val="center"/>
          </w:tcPr>
          <w:p w14:paraId="43FF0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管理岗</w:t>
            </w:r>
          </w:p>
        </w:tc>
        <w:tc>
          <w:tcPr>
            <w:tcW w:w="420" w:type="dxa"/>
            <w:tcBorders>
              <w:left w:val="single" w:color="000000" w:sz="4" w:space="0"/>
              <w:bottom w:val="single" w:color="000000" w:sz="4" w:space="0"/>
              <w:right w:val="single" w:color="000000" w:sz="4" w:space="0"/>
            </w:tcBorders>
            <w:noWrap w:val="0"/>
            <w:vAlign w:val="center"/>
          </w:tcPr>
          <w:p w14:paraId="7CA64B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9F833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本科及以上</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83510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全日制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52F7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44384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w:t>
            </w:r>
          </w:p>
          <w:p w14:paraId="5C64CC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0810土木类</w:t>
            </w:r>
          </w:p>
          <w:p w14:paraId="575915B9">
            <w:pPr>
              <w:pStyle w:val="2"/>
              <w:rPr>
                <w:rFonts w:hint="eastAsia"/>
                <w:lang w:val="en-US" w:eastAsia="zh-CN"/>
              </w:rPr>
            </w:pPr>
          </w:p>
          <w:p w14:paraId="0DD7FB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w:t>
            </w:r>
          </w:p>
          <w:p w14:paraId="33892A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0814土木工程</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39267C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全日制本科生不超过35周岁，硕士研究生不超过40周岁，博士研究生原则上不超过45周岁。</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7B1069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本科生报考应具有一流大学、一流学科建设高校或</w:t>
            </w:r>
            <w:r>
              <w:rPr>
                <w:rFonts w:hint="eastAsia" w:ascii="宋体" w:hAnsi="宋体" w:cs="宋体"/>
                <w:i w:val="0"/>
                <w:iCs w:val="0"/>
                <w:color w:val="000000"/>
                <w:kern w:val="0"/>
                <w:sz w:val="20"/>
                <w:szCs w:val="20"/>
                <w:u w:val="none"/>
                <w:lang w:val="en-US" w:eastAsia="zh-CN" w:bidi="ar"/>
              </w:rPr>
              <w:t>原</w:t>
            </w:r>
            <w:r>
              <w:rPr>
                <w:rFonts w:hint="eastAsia" w:ascii="宋体" w:hAnsi="宋体" w:eastAsia="宋体" w:cs="宋体"/>
                <w:i w:val="0"/>
                <w:iCs w:val="0"/>
                <w:color w:val="000000"/>
                <w:kern w:val="0"/>
                <w:sz w:val="20"/>
                <w:szCs w:val="20"/>
                <w:u w:val="none"/>
                <w:lang w:val="en-US" w:eastAsia="zh-CN" w:bidi="ar"/>
              </w:rPr>
              <w:t xml:space="preserve">“985”“211”高校相关专业全日制本科学历，并取得相应学位，不超过35周岁；研究生以上学历报考应具有相关专业全日制研究生以上学历并取得相应学位。 最低工作服务年限为五年。 </w:t>
            </w:r>
          </w:p>
        </w:tc>
        <w:tc>
          <w:tcPr>
            <w:tcW w:w="1771" w:type="dxa"/>
            <w:tcBorders>
              <w:left w:val="single" w:color="000000" w:sz="4" w:space="0"/>
              <w:bottom w:val="single" w:color="000000" w:sz="4" w:space="0"/>
              <w:right w:val="single" w:color="000000" w:sz="4" w:space="0"/>
            </w:tcBorders>
            <w:noWrap w:val="0"/>
            <w:vAlign w:val="center"/>
          </w:tcPr>
          <w:p w14:paraId="4133F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王海霞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04706260620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13191328880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张嘉欣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04706260630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14747049674</w:t>
            </w:r>
          </w:p>
        </w:tc>
        <w:tc>
          <w:tcPr>
            <w:tcW w:w="1225" w:type="dxa"/>
            <w:tcBorders>
              <w:left w:val="single" w:color="000000" w:sz="4" w:space="0"/>
              <w:bottom w:val="single" w:color="000000" w:sz="4" w:space="0"/>
              <w:right w:val="single" w:color="000000" w:sz="4" w:space="0"/>
            </w:tcBorders>
            <w:noWrap w:val="0"/>
            <w:vAlign w:val="center"/>
          </w:tcPr>
          <w:p w14:paraId="31E02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"mailto:hzqgwhxzb@163.com" </w:instrText>
            </w:r>
            <w:r>
              <w:rPr>
                <w:rFonts w:hint="eastAsia" w:ascii="宋体" w:hAnsi="宋体" w:eastAsia="宋体" w:cs="宋体"/>
                <w:i w:val="0"/>
                <w:iCs w:val="0"/>
                <w:color w:val="000000"/>
                <w:kern w:val="0"/>
                <w:sz w:val="22"/>
                <w:szCs w:val="22"/>
                <w:u w:val="none"/>
                <w:lang w:val="en-US" w:eastAsia="zh-CN" w:bidi="ar"/>
              </w:rPr>
              <w:fldChar w:fldCharType="separate"/>
            </w:r>
            <w:r>
              <w:rPr>
                <w:rStyle w:val="9"/>
                <w:rFonts w:hint="eastAsia" w:ascii="宋体" w:hAnsi="宋体" w:eastAsia="宋体" w:cs="宋体"/>
                <w:i w:val="0"/>
                <w:iCs w:val="0"/>
                <w:color w:val="000000"/>
                <w:sz w:val="22"/>
                <w:szCs w:val="22"/>
                <w:u w:val="none"/>
              </w:rPr>
              <w:t>hzqgwhxzb@163.com</w:t>
            </w:r>
            <w:r>
              <w:rPr>
                <w:rFonts w:hint="eastAsia" w:ascii="宋体" w:hAnsi="宋体" w:eastAsia="宋体" w:cs="宋体"/>
                <w:i w:val="0"/>
                <w:iCs w:val="0"/>
                <w:color w:val="000000"/>
                <w:kern w:val="0"/>
                <w:sz w:val="22"/>
                <w:szCs w:val="22"/>
                <w:u w:val="none"/>
                <w:lang w:val="en-US" w:eastAsia="zh-CN" w:bidi="ar"/>
              </w:rPr>
              <w:fldChar w:fldCharType="end"/>
            </w:r>
          </w:p>
        </w:tc>
      </w:tr>
    </w:tbl>
    <w:p w14:paraId="4C782664">
      <w:pPr>
        <w:rPr>
          <w:rFonts w:hint="eastAsia"/>
          <w:lang w:eastAsia="zh-CN"/>
        </w:rPr>
        <w:sectPr>
          <w:pgSz w:w="16838" w:h="11906" w:orient="landscape"/>
          <w:pgMar w:top="1701" w:right="1440" w:bottom="1701" w:left="1440" w:header="851" w:footer="992" w:gutter="0"/>
          <w:cols w:space="720" w:num="1"/>
          <w:docGrid w:type="lines" w:linePitch="319" w:charSpace="0"/>
        </w:sectPr>
      </w:pPr>
    </w:p>
    <w:tbl>
      <w:tblPr>
        <w:tblStyle w:val="7"/>
        <w:tblW w:w="10580" w:type="dxa"/>
        <w:jc w:val="center"/>
        <w:tblLayout w:type="fixed"/>
        <w:tblCellMar>
          <w:top w:w="0" w:type="dxa"/>
          <w:left w:w="108" w:type="dxa"/>
          <w:bottom w:w="0" w:type="dxa"/>
          <w:right w:w="108" w:type="dxa"/>
        </w:tblCellMar>
      </w:tblPr>
      <w:tblGrid>
        <w:gridCol w:w="2260"/>
        <w:gridCol w:w="1300"/>
        <w:gridCol w:w="1880"/>
        <w:gridCol w:w="1707"/>
        <w:gridCol w:w="1473"/>
        <w:gridCol w:w="1960"/>
      </w:tblGrid>
      <w:tr w14:paraId="29FCFF6A">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noWrap w:val="0"/>
            <w:vAlign w:val="center"/>
          </w:tcPr>
          <w:p w14:paraId="7B79BC7B">
            <w:pPr>
              <w:widowControl/>
              <w:spacing w:line="500" w:lineRule="exact"/>
              <w:jc w:val="left"/>
              <w:rPr>
                <w:rFonts w:ascii="宋体" w:hAnsi="宋体" w:cs="宋体"/>
                <w:b/>
                <w:bCs/>
                <w:kern w:val="0"/>
                <w:sz w:val="32"/>
                <w:szCs w:val="32"/>
              </w:rPr>
            </w:pPr>
            <w:r>
              <w:rPr>
                <w:rFonts w:hint="eastAsia" w:ascii="CESI黑体-GB2312" w:hAnsi="CESI黑体-GB2312" w:eastAsia="CESI黑体-GB2312" w:cs="CESI黑体-GB2312"/>
                <w:b w:val="0"/>
                <w:bCs w:val="0"/>
                <w:kern w:val="0"/>
                <w:sz w:val="32"/>
                <w:szCs w:val="32"/>
              </w:rPr>
              <w:t>附件2：</w:t>
            </w:r>
          </w:p>
        </w:tc>
        <w:tc>
          <w:tcPr>
            <w:tcW w:w="1880" w:type="dxa"/>
            <w:tcBorders>
              <w:top w:val="nil"/>
              <w:left w:val="nil"/>
              <w:bottom w:val="nil"/>
              <w:right w:val="nil"/>
            </w:tcBorders>
            <w:noWrap w:val="0"/>
            <w:vAlign w:val="center"/>
          </w:tcPr>
          <w:p w14:paraId="1DB84BBD">
            <w:pPr>
              <w:widowControl/>
              <w:spacing w:line="500" w:lineRule="exact"/>
              <w:jc w:val="left"/>
              <w:rPr>
                <w:rFonts w:ascii="宋体" w:hAnsi="宋体" w:cs="宋体"/>
                <w:kern w:val="0"/>
                <w:sz w:val="24"/>
              </w:rPr>
            </w:pPr>
          </w:p>
        </w:tc>
        <w:tc>
          <w:tcPr>
            <w:tcW w:w="1707" w:type="dxa"/>
            <w:tcBorders>
              <w:top w:val="nil"/>
              <w:left w:val="nil"/>
              <w:bottom w:val="nil"/>
              <w:right w:val="nil"/>
            </w:tcBorders>
            <w:noWrap w:val="0"/>
            <w:vAlign w:val="center"/>
          </w:tcPr>
          <w:p w14:paraId="15675F70">
            <w:pPr>
              <w:widowControl/>
              <w:spacing w:line="500" w:lineRule="exact"/>
              <w:jc w:val="left"/>
              <w:rPr>
                <w:rFonts w:ascii="宋体" w:hAnsi="宋体" w:cs="宋体"/>
                <w:kern w:val="0"/>
                <w:sz w:val="24"/>
              </w:rPr>
            </w:pPr>
          </w:p>
        </w:tc>
        <w:tc>
          <w:tcPr>
            <w:tcW w:w="1473" w:type="dxa"/>
            <w:tcBorders>
              <w:top w:val="nil"/>
              <w:left w:val="nil"/>
              <w:bottom w:val="nil"/>
              <w:right w:val="nil"/>
            </w:tcBorders>
            <w:noWrap w:val="0"/>
            <w:vAlign w:val="center"/>
          </w:tcPr>
          <w:p w14:paraId="1872510A">
            <w:pPr>
              <w:widowControl/>
              <w:spacing w:line="500" w:lineRule="exact"/>
              <w:jc w:val="left"/>
              <w:rPr>
                <w:rFonts w:ascii="宋体" w:hAnsi="宋体" w:cs="宋体"/>
                <w:kern w:val="0"/>
                <w:sz w:val="24"/>
              </w:rPr>
            </w:pPr>
          </w:p>
        </w:tc>
        <w:tc>
          <w:tcPr>
            <w:tcW w:w="1960" w:type="dxa"/>
            <w:tcBorders>
              <w:top w:val="nil"/>
              <w:left w:val="nil"/>
              <w:bottom w:val="nil"/>
              <w:right w:val="nil"/>
            </w:tcBorders>
            <w:noWrap w:val="0"/>
            <w:vAlign w:val="center"/>
          </w:tcPr>
          <w:p w14:paraId="72DD0F92">
            <w:pPr>
              <w:widowControl/>
              <w:spacing w:line="500" w:lineRule="exact"/>
              <w:jc w:val="left"/>
              <w:rPr>
                <w:rFonts w:ascii="宋体" w:hAnsi="宋体" w:cs="宋体"/>
                <w:kern w:val="0"/>
                <w:sz w:val="24"/>
              </w:rPr>
            </w:pPr>
          </w:p>
        </w:tc>
      </w:tr>
      <w:tr w14:paraId="3B98A101">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noWrap w:val="0"/>
            <w:vAlign w:val="center"/>
          </w:tcPr>
          <w:p w14:paraId="703B0DEF">
            <w:pPr>
              <w:widowControl/>
              <w:spacing w:line="500" w:lineRule="exact"/>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2024年满洲里市边境经济合作区管理委员会</w:t>
            </w:r>
          </w:p>
          <w:p w14:paraId="40C9234A">
            <w:pPr>
              <w:widowControl/>
              <w:spacing w:line="500" w:lineRule="exact"/>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所属事业单位</w:t>
            </w:r>
            <w:r>
              <w:rPr>
                <w:rFonts w:hint="eastAsia" w:ascii="方正小标宋简体" w:hAnsi="宋体" w:eastAsia="方正小标宋简体" w:cs="宋体"/>
                <w:kern w:val="0"/>
                <w:sz w:val="40"/>
                <w:szCs w:val="40"/>
                <w:highlight w:val="none"/>
              </w:rPr>
              <w:t>人才引进</w:t>
            </w:r>
            <w:r>
              <w:rPr>
                <w:rFonts w:hint="eastAsia" w:ascii="方正小标宋简体" w:hAnsi="宋体" w:eastAsia="方正小标宋简体" w:cs="宋体"/>
                <w:kern w:val="0"/>
                <w:sz w:val="40"/>
                <w:szCs w:val="40"/>
              </w:rPr>
              <w:t>报名表</w:t>
            </w:r>
          </w:p>
        </w:tc>
      </w:tr>
      <w:tr w14:paraId="1B134680">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noWrap w:val="0"/>
            <w:vAlign w:val="center"/>
          </w:tcPr>
          <w:p w14:paraId="41D4CAEA">
            <w:pPr>
              <w:widowControl/>
              <w:jc w:val="center"/>
              <w:rPr>
                <w:rFonts w:ascii="宋体" w:hAnsi="宋体" w:cs="宋体"/>
                <w:kern w:val="0"/>
                <w:sz w:val="22"/>
                <w:szCs w:val="22"/>
              </w:rPr>
            </w:pPr>
            <w:r>
              <w:rPr>
                <w:rFonts w:hint="eastAsia" w:ascii="宋体" w:hAnsi="宋体" w:cs="宋体"/>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noWrap w:val="0"/>
            <w:vAlign w:val="center"/>
          </w:tcPr>
          <w:p w14:paraId="6F9EFB8D">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noWrap w:val="0"/>
            <w:vAlign w:val="center"/>
          </w:tcPr>
          <w:p w14:paraId="6B1E52AE">
            <w:pPr>
              <w:widowControl/>
              <w:jc w:val="center"/>
              <w:rPr>
                <w:rFonts w:ascii="宋体" w:hAnsi="宋体" w:cs="宋体"/>
                <w:kern w:val="0"/>
                <w:sz w:val="22"/>
                <w:szCs w:val="22"/>
              </w:rPr>
            </w:pPr>
            <w:r>
              <w:rPr>
                <w:rFonts w:hint="eastAsia" w:ascii="宋体" w:hAnsi="宋体" w:cs="宋体"/>
                <w:kern w:val="0"/>
                <w:sz w:val="22"/>
                <w:szCs w:val="22"/>
              </w:rPr>
              <w:t>2寸彩色免冠照片</w:t>
            </w:r>
          </w:p>
        </w:tc>
      </w:tr>
      <w:tr w14:paraId="6EEB16D1">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noWrap w:val="0"/>
            <w:vAlign w:val="center"/>
          </w:tcPr>
          <w:p w14:paraId="722046D3">
            <w:pPr>
              <w:widowControl/>
              <w:jc w:val="center"/>
              <w:rPr>
                <w:rFonts w:ascii="宋体" w:hAnsi="宋体" w:cs="宋体"/>
                <w:kern w:val="0"/>
                <w:sz w:val="22"/>
                <w:szCs w:val="22"/>
              </w:rPr>
            </w:pPr>
            <w:r>
              <w:rPr>
                <w:rFonts w:hint="eastAsia" w:ascii="宋体" w:hAnsi="宋体" w:cs="宋体"/>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noWrap w:val="0"/>
            <w:vAlign w:val="center"/>
          </w:tcPr>
          <w:p w14:paraId="33E10B4B">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noWrap w:val="0"/>
            <w:vAlign w:val="center"/>
          </w:tcPr>
          <w:p w14:paraId="14F6747A">
            <w:pPr>
              <w:widowControl/>
              <w:jc w:val="left"/>
              <w:rPr>
                <w:rFonts w:ascii="宋体" w:hAnsi="宋体" w:cs="宋体"/>
                <w:kern w:val="0"/>
                <w:sz w:val="22"/>
                <w:szCs w:val="22"/>
              </w:rPr>
            </w:pPr>
          </w:p>
        </w:tc>
      </w:tr>
      <w:tr w14:paraId="60B2F33F">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noWrap w:val="0"/>
            <w:vAlign w:val="center"/>
          </w:tcPr>
          <w:p w14:paraId="0EA17366">
            <w:pPr>
              <w:widowControl/>
              <w:jc w:val="center"/>
              <w:rPr>
                <w:rFonts w:ascii="宋体" w:hAnsi="宋体" w:cs="宋体"/>
                <w:kern w:val="0"/>
                <w:sz w:val="22"/>
                <w:szCs w:val="22"/>
              </w:rPr>
            </w:pPr>
            <w:r>
              <w:rPr>
                <w:rFonts w:hint="eastAsia" w:ascii="宋体" w:hAnsi="宋体" w:cs="宋体"/>
                <w:kern w:val="0"/>
                <w:sz w:val="22"/>
                <w:szCs w:val="22"/>
              </w:rPr>
              <w:t>姓名</w:t>
            </w:r>
          </w:p>
        </w:tc>
        <w:tc>
          <w:tcPr>
            <w:tcW w:w="3180" w:type="dxa"/>
            <w:gridSpan w:val="2"/>
            <w:tcBorders>
              <w:top w:val="single" w:color="auto" w:sz="4" w:space="0"/>
              <w:left w:val="nil"/>
              <w:bottom w:val="single" w:color="auto" w:sz="4" w:space="0"/>
              <w:right w:val="single" w:color="auto" w:sz="4" w:space="0"/>
            </w:tcBorders>
            <w:noWrap w:val="0"/>
            <w:vAlign w:val="center"/>
          </w:tcPr>
          <w:p w14:paraId="60241B42">
            <w:pPr>
              <w:widowControl/>
              <w:jc w:val="center"/>
              <w:rPr>
                <w:rFonts w:ascii="宋体" w:hAnsi="宋体" w:cs="宋体"/>
                <w:kern w:val="0"/>
                <w:sz w:val="22"/>
                <w:szCs w:val="22"/>
              </w:rPr>
            </w:pPr>
            <w:r>
              <w:rPr>
                <w:rFonts w:hint="eastAsia" w:ascii="宋体" w:hAnsi="宋体" w:cs="宋体"/>
                <w:kern w:val="0"/>
                <w:sz w:val="22"/>
                <w:szCs w:val="22"/>
              </w:rPr>
              <w:t>　</w:t>
            </w:r>
          </w:p>
        </w:tc>
        <w:tc>
          <w:tcPr>
            <w:tcW w:w="1707" w:type="dxa"/>
            <w:tcBorders>
              <w:top w:val="nil"/>
              <w:left w:val="nil"/>
              <w:bottom w:val="single" w:color="auto" w:sz="4" w:space="0"/>
              <w:right w:val="single" w:color="auto" w:sz="4" w:space="0"/>
            </w:tcBorders>
            <w:noWrap w:val="0"/>
            <w:vAlign w:val="center"/>
          </w:tcPr>
          <w:p w14:paraId="0F2E8CD8">
            <w:pPr>
              <w:widowControl/>
              <w:jc w:val="center"/>
              <w:rPr>
                <w:rFonts w:ascii="宋体" w:hAnsi="宋体" w:cs="宋体"/>
                <w:kern w:val="0"/>
                <w:sz w:val="22"/>
                <w:szCs w:val="22"/>
              </w:rPr>
            </w:pPr>
            <w:r>
              <w:rPr>
                <w:rFonts w:hint="eastAsia" w:ascii="宋体" w:hAnsi="宋体" w:cs="宋体"/>
                <w:kern w:val="0"/>
                <w:sz w:val="22"/>
                <w:szCs w:val="22"/>
              </w:rPr>
              <w:t>性别</w:t>
            </w:r>
          </w:p>
        </w:tc>
        <w:tc>
          <w:tcPr>
            <w:tcW w:w="1473" w:type="dxa"/>
            <w:tcBorders>
              <w:top w:val="nil"/>
              <w:left w:val="nil"/>
              <w:bottom w:val="single" w:color="auto" w:sz="4" w:space="0"/>
              <w:right w:val="single" w:color="auto" w:sz="4" w:space="0"/>
            </w:tcBorders>
            <w:noWrap w:val="0"/>
            <w:vAlign w:val="center"/>
          </w:tcPr>
          <w:p w14:paraId="7D50FB10">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noWrap w:val="0"/>
            <w:vAlign w:val="center"/>
          </w:tcPr>
          <w:p w14:paraId="1C6AF1B4">
            <w:pPr>
              <w:widowControl/>
              <w:jc w:val="left"/>
              <w:rPr>
                <w:rFonts w:ascii="宋体" w:hAnsi="宋体" w:cs="宋体"/>
                <w:kern w:val="0"/>
                <w:sz w:val="22"/>
                <w:szCs w:val="22"/>
              </w:rPr>
            </w:pPr>
          </w:p>
        </w:tc>
      </w:tr>
      <w:tr w14:paraId="582BFA4A">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noWrap w:val="0"/>
            <w:vAlign w:val="center"/>
          </w:tcPr>
          <w:p w14:paraId="2663AA1C">
            <w:pPr>
              <w:widowControl/>
              <w:jc w:val="center"/>
              <w:rPr>
                <w:rFonts w:ascii="宋体" w:hAnsi="宋体" w:cs="宋体"/>
                <w:kern w:val="0"/>
                <w:sz w:val="22"/>
                <w:szCs w:val="22"/>
              </w:rPr>
            </w:pPr>
            <w:r>
              <w:rPr>
                <w:rFonts w:hint="eastAsia" w:ascii="宋体" w:hAnsi="宋体" w:cs="宋体"/>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noWrap w:val="0"/>
            <w:vAlign w:val="center"/>
          </w:tcPr>
          <w:p w14:paraId="77EB92EF">
            <w:pPr>
              <w:widowControl/>
              <w:jc w:val="center"/>
              <w:rPr>
                <w:rFonts w:ascii="宋体" w:hAnsi="宋体" w:cs="宋体"/>
                <w:kern w:val="0"/>
                <w:sz w:val="22"/>
                <w:szCs w:val="22"/>
              </w:rPr>
            </w:pPr>
            <w:r>
              <w:rPr>
                <w:rFonts w:hint="eastAsia" w:ascii="宋体" w:hAnsi="宋体" w:cs="宋体"/>
                <w:kern w:val="0"/>
                <w:sz w:val="22"/>
                <w:szCs w:val="22"/>
              </w:rPr>
              <w:t>　</w:t>
            </w:r>
          </w:p>
        </w:tc>
        <w:tc>
          <w:tcPr>
            <w:tcW w:w="1707" w:type="dxa"/>
            <w:tcBorders>
              <w:top w:val="nil"/>
              <w:left w:val="nil"/>
              <w:bottom w:val="single" w:color="auto" w:sz="4" w:space="0"/>
              <w:right w:val="single" w:color="auto" w:sz="4" w:space="0"/>
            </w:tcBorders>
            <w:noWrap w:val="0"/>
            <w:vAlign w:val="center"/>
          </w:tcPr>
          <w:p w14:paraId="2EF4ECAE">
            <w:pPr>
              <w:widowControl/>
              <w:jc w:val="center"/>
              <w:rPr>
                <w:rFonts w:ascii="宋体" w:hAnsi="宋体" w:cs="宋体"/>
                <w:kern w:val="0"/>
                <w:sz w:val="22"/>
                <w:szCs w:val="22"/>
              </w:rPr>
            </w:pPr>
            <w:r>
              <w:rPr>
                <w:rFonts w:hint="eastAsia" w:ascii="宋体" w:hAnsi="宋体" w:cs="宋体"/>
                <w:kern w:val="0"/>
                <w:sz w:val="22"/>
                <w:szCs w:val="22"/>
              </w:rPr>
              <w:t>民族</w:t>
            </w:r>
          </w:p>
        </w:tc>
        <w:tc>
          <w:tcPr>
            <w:tcW w:w="1473" w:type="dxa"/>
            <w:tcBorders>
              <w:top w:val="nil"/>
              <w:left w:val="nil"/>
              <w:bottom w:val="single" w:color="auto" w:sz="4" w:space="0"/>
              <w:right w:val="single" w:color="auto" w:sz="4" w:space="0"/>
            </w:tcBorders>
            <w:noWrap w:val="0"/>
            <w:vAlign w:val="center"/>
          </w:tcPr>
          <w:p w14:paraId="6E3A5896">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noWrap w:val="0"/>
            <w:vAlign w:val="center"/>
          </w:tcPr>
          <w:p w14:paraId="5E5C08AA">
            <w:pPr>
              <w:widowControl/>
              <w:jc w:val="left"/>
              <w:rPr>
                <w:rFonts w:ascii="宋体" w:hAnsi="宋体" w:cs="宋体"/>
                <w:kern w:val="0"/>
                <w:sz w:val="22"/>
                <w:szCs w:val="22"/>
              </w:rPr>
            </w:pPr>
          </w:p>
        </w:tc>
      </w:tr>
      <w:tr w14:paraId="6701154E">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noWrap w:val="0"/>
            <w:vAlign w:val="center"/>
          </w:tcPr>
          <w:p w14:paraId="7F3841B0">
            <w:pPr>
              <w:widowControl/>
              <w:jc w:val="center"/>
              <w:rPr>
                <w:rFonts w:ascii="宋体" w:hAnsi="宋体" w:cs="宋体"/>
                <w:kern w:val="0"/>
                <w:sz w:val="22"/>
                <w:szCs w:val="22"/>
              </w:rPr>
            </w:pPr>
            <w:r>
              <w:rPr>
                <w:rFonts w:hint="eastAsia" w:ascii="宋体" w:hAnsi="宋体" w:cs="宋体"/>
                <w:kern w:val="0"/>
                <w:sz w:val="22"/>
                <w:szCs w:val="22"/>
              </w:rPr>
              <w:t>政治面貌</w:t>
            </w:r>
          </w:p>
        </w:tc>
        <w:tc>
          <w:tcPr>
            <w:tcW w:w="3180" w:type="dxa"/>
            <w:gridSpan w:val="2"/>
            <w:tcBorders>
              <w:top w:val="single" w:color="auto" w:sz="4" w:space="0"/>
              <w:left w:val="nil"/>
              <w:bottom w:val="single" w:color="auto" w:sz="4" w:space="0"/>
              <w:right w:val="single" w:color="auto" w:sz="4" w:space="0"/>
            </w:tcBorders>
            <w:noWrap w:val="0"/>
            <w:vAlign w:val="center"/>
          </w:tcPr>
          <w:p w14:paraId="17540278">
            <w:pPr>
              <w:widowControl/>
              <w:jc w:val="center"/>
              <w:rPr>
                <w:rFonts w:ascii="宋体" w:hAnsi="宋体" w:cs="宋体"/>
                <w:kern w:val="0"/>
                <w:sz w:val="22"/>
                <w:szCs w:val="22"/>
              </w:rPr>
            </w:pPr>
            <w:r>
              <w:rPr>
                <w:rFonts w:hint="eastAsia" w:ascii="宋体" w:hAnsi="宋体" w:cs="宋体"/>
                <w:kern w:val="0"/>
                <w:sz w:val="22"/>
                <w:szCs w:val="22"/>
              </w:rPr>
              <w:t>　</w:t>
            </w:r>
          </w:p>
        </w:tc>
        <w:tc>
          <w:tcPr>
            <w:tcW w:w="1707" w:type="dxa"/>
            <w:tcBorders>
              <w:top w:val="nil"/>
              <w:left w:val="nil"/>
              <w:bottom w:val="single" w:color="auto" w:sz="4" w:space="0"/>
              <w:right w:val="single" w:color="auto" w:sz="4" w:space="0"/>
            </w:tcBorders>
            <w:noWrap w:val="0"/>
            <w:vAlign w:val="center"/>
          </w:tcPr>
          <w:p w14:paraId="4C5BA467">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1473" w:type="dxa"/>
            <w:tcBorders>
              <w:top w:val="nil"/>
              <w:left w:val="nil"/>
              <w:bottom w:val="single" w:color="auto" w:sz="4" w:space="0"/>
              <w:right w:val="single" w:color="auto" w:sz="4" w:space="0"/>
            </w:tcBorders>
            <w:noWrap w:val="0"/>
            <w:vAlign w:val="center"/>
          </w:tcPr>
          <w:p w14:paraId="0B884901">
            <w:pPr>
              <w:widowControl/>
              <w:jc w:val="left"/>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noWrap w:val="0"/>
            <w:vAlign w:val="center"/>
          </w:tcPr>
          <w:p w14:paraId="53DAFFAF">
            <w:pPr>
              <w:widowControl/>
              <w:jc w:val="left"/>
              <w:rPr>
                <w:rFonts w:ascii="宋体" w:hAnsi="宋体" w:cs="宋体"/>
                <w:kern w:val="0"/>
                <w:sz w:val="22"/>
                <w:szCs w:val="22"/>
              </w:rPr>
            </w:pPr>
          </w:p>
        </w:tc>
      </w:tr>
      <w:tr w14:paraId="1DCB5B4B">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noWrap w:val="0"/>
            <w:vAlign w:val="center"/>
          </w:tcPr>
          <w:p w14:paraId="3A5BBD5F">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noWrap w:val="0"/>
            <w:vAlign w:val="center"/>
          </w:tcPr>
          <w:p w14:paraId="3296D190">
            <w:pPr>
              <w:widowControl/>
              <w:jc w:val="center"/>
              <w:rPr>
                <w:rFonts w:ascii="宋体" w:hAnsi="宋体" w:cs="宋体"/>
                <w:kern w:val="0"/>
                <w:sz w:val="22"/>
                <w:szCs w:val="22"/>
              </w:rPr>
            </w:pPr>
            <w:r>
              <w:rPr>
                <w:rFonts w:hint="eastAsia" w:ascii="宋体" w:hAnsi="宋体" w:cs="宋体"/>
                <w:kern w:val="0"/>
                <w:sz w:val="22"/>
                <w:szCs w:val="22"/>
              </w:rPr>
              <w:t>　</w:t>
            </w:r>
          </w:p>
        </w:tc>
        <w:tc>
          <w:tcPr>
            <w:tcW w:w="1707" w:type="dxa"/>
            <w:tcBorders>
              <w:top w:val="nil"/>
              <w:left w:val="nil"/>
              <w:bottom w:val="single" w:color="auto" w:sz="4" w:space="0"/>
              <w:right w:val="single" w:color="auto" w:sz="4" w:space="0"/>
            </w:tcBorders>
            <w:noWrap w:val="0"/>
            <w:vAlign w:val="center"/>
          </w:tcPr>
          <w:p w14:paraId="3778FA4E">
            <w:pPr>
              <w:widowControl/>
              <w:jc w:val="center"/>
              <w:rPr>
                <w:rFonts w:ascii="宋体" w:hAnsi="宋体" w:cs="宋体"/>
                <w:kern w:val="0"/>
                <w:sz w:val="22"/>
                <w:szCs w:val="22"/>
              </w:rPr>
            </w:pPr>
            <w:r>
              <w:rPr>
                <w:rFonts w:hint="eastAsia" w:ascii="宋体" w:hAnsi="宋体" w:cs="宋体"/>
                <w:kern w:val="0"/>
                <w:sz w:val="22"/>
                <w:szCs w:val="22"/>
              </w:rPr>
              <w:t>电子邮箱</w:t>
            </w:r>
          </w:p>
        </w:tc>
        <w:tc>
          <w:tcPr>
            <w:tcW w:w="3433" w:type="dxa"/>
            <w:gridSpan w:val="2"/>
            <w:tcBorders>
              <w:top w:val="single" w:color="auto" w:sz="4" w:space="0"/>
              <w:left w:val="nil"/>
              <w:bottom w:val="single" w:color="auto" w:sz="4" w:space="0"/>
              <w:right w:val="single" w:color="000000" w:sz="4" w:space="0"/>
            </w:tcBorders>
            <w:noWrap w:val="0"/>
            <w:vAlign w:val="center"/>
          </w:tcPr>
          <w:p w14:paraId="6D7FF6F3">
            <w:pPr>
              <w:widowControl/>
              <w:jc w:val="center"/>
              <w:rPr>
                <w:rFonts w:ascii="宋体" w:hAnsi="宋体" w:cs="宋体"/>
                <w:kern w:val="0"/>
                <w:sz w:val="22"/>
                <w:szCs w:val="22"/>
              </w:rPr>
            </w:pPr>
            <w:r>
              <w:rPr>
                <w:rFonts w:hint="eastAsia" w:ascii="宋体" w:hAnsi="宋体" w:cs="宋体"/>
                <w:kern w:val="0"/>
                <w:sz w:val="22"/>
                <w:szCs w:val="22"/>
              </w:rPr>
              <w:t>　</w:t>
            </w:r>
          </w:p>
        </w:tc>
      </w:tr>
      <w:tr w14:paraId="09B84BA8">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noWrap w:val="0"/>
            <w:vAlign w:val="center"/>
          </w:tcPr>
          <w:p w14:paraId="0D800D86">
            <w:pPr>
              <w:widowControl/>
              <w:jc w:val="center"/>
              <w:rPr>
                <w:rFonts w:ascii="宋体" w:hAnsi="宋体" w:cs="宋体"/>
                <w:kern w:val="0"/>
                <w:sz w:val="22"/>
                <w:szCs w:val="22"/>
              </w:rPr>
            </w:pPr>
            <w:r>
              <w:rPr>
                <w:rFonts w:hint="eastAsia" w:ascii="宋体" w:hAnsi="宋体" w:cs="宋体"/>
                <w:kern w:val="0"/>
                <w:sz w:val="22"/>
                <w:szCs w:val="22"/>
              </w:rPr>
              <w:t>全日制教育</w:t>
            </w:r>
          </w:p>
        </w:tc>
        <w:tc>
          <w:tcPr>
            <w:tcW w:w="1300" w:type="dxa"/>
            <w:tcBorders>
              <w:top w:val="nil"/>
              <w:left w:val="nil"/>
              <w:bottom w:val="single" w:color="auto" w:sz="4" w:space="0"/>
              <w:right w:val="single" w:color="auto" w:sz="4" w:space="0"/>
            </w:tcBorders>
            <w:noWrap w:val="0"/>
            <w:vAlign w:val="center"/>
          </w:tcPr>
          <w:p w14:paraId="44977515">
            <w:pPr>
              <w:widowControl/>
              <w:jc w:val="center"/>
              <w:rPr>
                <w:rFonts w:ascii="宋体" w:hAnsi="宋体" w:cs="宋体"/>
                <w:kern w:val="0"/>
                <w:sz w:val="22"/>
                <w:szCs w:val="22"/>
              </w:rPr>
            </w:pPr>
            <w:r>
              <w:rPr>
                <w:rFonts w:hint="eastAsia" w:ascii="宋体" w:hAnsi="宋体" w:cs="宋体"/>
                <w:kern w:val="0"/>
                <w:sz w:val="22"/>
                <w:szCs w:val="22"/>
              </w:rPr>
              <w:t>学历</w:t>
            </w:r>
          </w:p>
        </w:tc>
        <w:tc>
          <w:tcPr>
            <w:tcW w:w="1880" w:type="dxa"/>
            <w:tcBorders>
              <w:top w:val="nil"/>
              <w:left w:val="nil"/>
              <w:bottom w:val="single" w:color="auto" w:sz="4" w:space="0"/>
              <w:right w:val="single" w:color="auto" w:sz="4" w:space="0"/>
            </w:tcBorders>
            <w:noWrap w:val="0"/>
            <w:vAlign w:val="center"/>
          </w:tcPr>
          <w:p w14:paraId="0E039553">
            <w:pPr>
              <w:widowControl/>
              <w:jc w:val="center"/>
              <w:rPr>
                <w:rFonts w:ascii="宋体" w:hAnsi="宋体" w:cs="宋体"/>
                <w:kern w:val="0"/>
                <w:sz w:val="22"/>
                <w:szCs w:val="22"/>
              </w:rPr>
            </w:pPr>
            <w:r>
              <w:rPr>
                <w:rFonts w:hint="eastAsia" w:ascii="宋体" w:hAnsi="宋体" w:cs="宋体"/>
                <w:kern w:val="0"/>
                <w:sz w:val="22"/>
                <w:szCs w:val="22"/>
              </w:rPr>
              <w:t>　</w:t>
            </w:r>
          </w:p>
        </w:tc>
        <w:tc>
          <w:tcPr>
            <w:tcW w:w="1707" w:type="dxa"/>
            <w:vMerge w:val="restart"/>
            <w:tcBorders>
              <w:top w:val="nil"/>
              <w:left w:val="single" w:color="auto" w:sz="4" w:space="0"/>
              <w:bottom w:val="single" w:color="auto" w:sz="4" w:space="0"/>
              <w:right w:val="single" w:color="auto" w:sz="4" w:space="0"/>
            </w:tcBorders>
            <w:noWrap w:val="0"/>
            <w:vAlign w:val="center"/>
          </w:tcPr>
          <w:p w14:paraId="6BD79A4B">
            <w:pPr>
              <w:widowControl/>
              <w:jc w:val="left"/>
              <w:rPr>
                <w:rFonts w:ascii="宋体" w:hAnsi="宋体" w:cs="宋体"/>
                <w:kern w:val="0"/>
                <w:sz w:val="22"/>
                <w:szCs w:val="22"/>
              </w:rPr>
            </w:pPr>
            <w:r>
              <w:rPr>
                <w:rFonts w:hint="eastAsia" w:ascii="宋体" w:hAnsi="宋体" w:cs="宋体"/>
                <w:kern w:val="0"/>
                <w:sz w:val="22"/>
                <w:szCs w:val="22"/>
              </w:rPr>
              <w:t>毕业院校、专业及毕业时间</w:t>
            </w:r>
          </w:p>
        </w:tc>
        <w:tc>
          <w:tcPr>
            <w:tcW w:w="343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C37403F">
            <w:pPr>
              <w:widowControl/>
              <w:jc w:val="center"/>
              <w:rPr>
                <w:rFonts w:ascii="宋体" w:hAnsi="宋体" w:cs="宋体"/>
                <w:kern w:val="0"/>
                <w:sz w:val="22"/>
                <w:szCs w:val="22"/>
              </w:rPr>
            </w:pPr>
            <w:r>
              <w:rPr>
                <w:rFonts w:hint="eastAsia" w:ascii="宋体" w:hAnsi="宋体" w:cs="宋体"/>
                <w:kern w:val="0"/>
                <w:sz w:val="22"/>
                <w:szCs w:val="22"/>
              </w:rPr>
              <w:t>　</w:t>
            </w:r>
          </w:p>
        </w:tc>
      </w:tr>
      <w:tr w14:paraId="4411FCDC">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noWrap w:val="0"/>
            <w:vAlign w:val="center"/>
          </w:tcPr>
          <w:p w14:paraId="75062A35">
            <w:pPr>
              <w:widowControl/>
              <w:jc w:val="left"/>
              <w:rPr>
                <w:rFonts w:ascii="宋体" w:hAnsi="宋体" w:cs="宋体"/>
                <w:kern w:val="0"/>
                <w:sz w:val="22"/>
                <w:szCs w:val="22"/>
              </w:rPr>
            </w:pPr>
          </w:p>
        </w:tc>
        <w:tc>
          <w:tcPr>
            <w:tcW w:w="1300" w:type="dxa"/>
            <w:tcBorders>
              <w:top w:val="nil"/>
              <w:left w:val="nil"/>
              <w:bottom w:val="single" w:color="auto" w:sz="4" w:space="0"/>
              <w:right w:val="single" w:color="auto" w:sz="4" w:space="0"/>
            </w:tcBorders>
            <w:noWrap w:val="0"/>
            <w:vAlign w:val="center"/>
          </w:tcPr>
          <w:p w14:paraId="24738057">
            <w:pPr>
              <w:widowControl/>
              <w:jc w:val="center"/>
              <w:rPr>
                <w:rFonts w:ascii="宋体" w:hAnsi="宋体" w:cs="宋体"/>
                <w:kern w:val="0"/>
                <w:sz w:val="22"/>
                <w:szCs w:val="22"/>
              </w:rPr>
            </w:pPr>
            <w:r>
              <w:rPr>
                <w:rFonts w:hint="eastAsia" w:ascii="宋体" w:hAnsi="宋体" w:cs="宋体"/>
                <w:kern w:val="0"/>
                <w:sz w:val="22"/>
                <w:szCs w:val="22"/>
              </w:rPr>
              <w:t>学位</w:t>
            </w:r>
          </w:p>
        </w:tc>
        <w:tc>
          <w:tcPr>
            <w:tcW w:w="1880" w:type="dxa"/>
            <w:tcBorders>
              <w:top w:val="nil"/>
              <w:left w:val="nil"/>
              <w:bottom w:val="single" w:color="auto" w:sz="4" w:space="0"/>
              <w:right w:val="single" w:color="auto" w:sz="4" w:space="0"/>
            </w:tcBorders>
            <w:noWrap w:val="0"/>
            <w:vAlign w:val="center"/>
          </w:tcPr>
          <w:p w14:paraId="2B2B9698">
            <w:pPr>
              <w:widowControl/>
              <w:jc w:val="center"/>
              <w:rPr>
                <w:rFonts w:ascii="宋体" w:hAnsi="宋体" w:cs="宋体"/>
                <w:kern w:val="0"/>
                <w:sz w:val="22"/>
                <w:szCs w:val="22"/>
              </w:rPr>
            </w:pPr>
            <w:r>
              <w:rPr>
                <w:rFonts w:hint="eastAsia" w:ascii="宋体" w:hAnsi="宋体" w:cs="宋体"/>
                <w:kern w:val="0"/>
                <w:sz w:val="22"/>
                <w:szCs w:val="22"/>
              </w:rPr>
              <w:t>　</w:t>
            </w:r>
          </w:p>
        </w:tc>
        <w:tc>
          <w:tcPr>
            <w:tcW w:w="1707" w:type="dxa"/>
            <w:vMerge w:val="continue"/>
            <w:tcBorders>
              <w:top w:val="nil"/>
              <w:left w:val="single" w:color="auto" w:sz="4" w:space="0"/>
              <w:bottom w:val="single" w:color="auto" w:sz="4" w:space="0"/>
              <w:right w:val="single" w:color="auto" w:sz="4" w:space="0"/>
            </w:tcBorders>
            <w:noWrap w:val="0"/>
            <w:vAlign w:val="center"/>
          </w:tcPr>
          <w:p w14:paraId="72AA8A73">
            <w:pPr>
              <w:widowControl/>
              <w:jc w:val="left"/>
              <w:rPr>
                <w:rFonts w:ascii="宋体" w:hAnsi="宋体" w:cs="宋体"/>
                <w:kern w:val="0"/>
                <w:sz w:val="22"/>
                <w:szCs w:val="22"/>
              </w:rPr>
            </w:pPr>
          </w:p>
        </w:tc>
        <w:tc>
          <w:tcPr>
            <w:tcW w:w="34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6C3C06">
            <w:pPr>
              <w:widowControl/>
              <w:jc w:val="left"/>
              <w:rPr>
                <w:rFonts w:ascii="宋体" w:hAnsi="宋体" w:cs="宋体"/>
                <w:kern w:val="0"/>
                <w:sz w:val="22"/>
                <w:szCs w:val="22"/>
              </w:rPr>
            </w:pPr>
          </w:p>
        </w:tc>
      </w:tr>
      <w:tr w14:paraId="4BC25C59">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noWrap w:val="0"/>
            <w:vAlign w:val="center"/>
          </w:tcPr>
          <w:p w14:paraId="18EE04BD">
            <w:pPr>
              <w:widowControl/>
              <w:jc w:val="center"/>
              <w:rPr>
                <w:rFonts w:ascii="宋体" w:hAnsi="宋体" w:cs="宋体"/>
                <w:kern w:val="0"/>
                <w:sz w:val="22"/>
                <w:szCs w:val="22"/>
              </w:rPr>
            </w:pPr>
            <w:r>
              <w:rPr>
                <w:rFonts w:hint="eastAsia" w:ascii="宋体" w:hAnsi="宋体" w:cs="宋体"/>
                <w:kern w:val="0"/>
                <w:sz w:val="22"/>
                <w:szCs w:val="22"/>
              </w:rPr>
              <w:t>在职教育</w:t>
            </w:r>
          </w:p>
        </w:tc>
        <w:tc>
          <w:tcPr>
            <w:tcW w:w="1300" w:type="dxa"/>
            <w:tcBorders>
              <w:top w:val="nil"/>
              <w:left w:val="nil"/>
              <w:bottom w:val="single" w:color="auto" w:sz="4" w:space="0"/>
              <w:right w:val="single" w:color="auto" w:sz="4" w:space="0"/>
            </w:tcBorders>
            <w:noWrap w:val="0"/>
            <w:vAlign w:val="center"/>
          </w:tcPr>
          <w:p w14:paraId="0617FE2A">
            <w:pPr>
              <w:widowControl/>
              <w:jc w:val="center"/>
              <w:rPr>
                <w:rFonts w:ascii="宋体" w:hAnsi="宋体" w:cs="宋体"/>
                <w:kern w:val="0"/>
                <w:sz w:val="22"/>
                <w:szCs w:val="22"/>
              </w:rPr>
            </w:pPr>
            <w:r>
              <w:rPr>
                <w:rFonts w:hint="eastAsia" w:ascii="宋体" w:hAnsi="宋体" w:cs="宋体"/>
                <w:kern w:val="0"/>
                <w:sz w:val="22"/>
                <w:szCs w:val="22"/>
              </w:rPr>
              <w:t>学历</w:t>
            </w:r>
          </w:p>
        </w:tc>
        <w:tc>
          <w:tcPr>
            <w:tcW w:w="1880" w:type="dxa"/>
            <w:tcBorders>
              <w:top w:val="nil"/>
              <w:left w:val="nil"/>
              <w:bottom w:val="single" w:color="auto" w:sz="4" w:space="0"/>
              <w:right w:val="single" w:color="auto" w:sz="4" w:space="0"/>
            </w:tcBorders>
            <w:noWrap w:val="0"/>
            <w:vAlign w:val="center"/>
          </w:tcPr>
          <w:p w14:paraId="4A46F68E">
            <w:pPr>
              <w:widowControl/>
              <w:jc w:val="center"/>
              <w:rPr>
                <w:rFonts w:ascii="宋体" w:hAnsi="宋体" w:cs="宋体"/>
                <w:kern w:val="0"/>
                <w:sz w:val="22"/>
                <w:szCs w:val="22"/>
              </w:rPr>
            </w:pPr>
            <w:r>
              <w:rPr>
                <w:rFonts w:hint="eastAsia" w:ascii="宋体" w:hAnsi="宋体" w:cs="宋体"/>
                <w:kern w:val="0"/>
                <w:sz w:val="22"/>
                <w:szCs w:val="22"/>
              </w:rPr>
              <w:t>　</w:t>
            </w:r>
          </w:p>
        </w:tc>
        <w:tc>
          <w:tcPr>
            <w:tcW w:w="1707" w:type="dxa"/>
            <w:vMerge w:val="restart"/>
            <w:tcBorders>
              <w:top w:val="nil"/>
              <w:left w:val="single" w:color="auto" w:sz="4" w:space="0"/>
              <w:bottom w:val="single" w:color="auto" w:sz="4" w:space="0"/>
              <w:right w:val="single" w:color="auto" w:sz="4" w:space="0"/>
            </w:tcBorders>
            <w:noWrap w:val="0"/>
            <w:vAlign w:val="center"/>
          </w:tcPr>
          <w:p w14:paraId="729F47B0">
            <w:pPr>
              <w:widowControl/>
              <w:jc w:val="left"/>
              <w:rPr>
                <w:rFonts w:ascii="宋体" w:hAnsi="宋体" w:cs="宋体"/>
                <w:kern w:val="0"/>
                <w:sz w:val="22"/>
                <w:szCs w:val="22"/>
              </w:rPr>
            </w:pPr>
            <w:r>
              <w:rPr>
                <w:rFonts w:hint="eastAsia" w:ascii="宋体" w:hAnsi="宋体" w:cs="宋体"/>
                <w:kern w:val="0"/>
                <w:sz w:val="22"/>
                <w:szCs w:val="22"/>
              </w:rPr>
              <w:t>毕业院校、专业及毕业时间</w:t>
            </w:r>
          </w:p>
        </w:tc>
        <w:tc>
          <w:tcPr>
            <w:tcW w:w="343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0134567">
            <w:pPr>
              <w:widowControl/>
              <w:jc w:val="center"/>
              <w:rPr>
                <w:rFonts w:ascii="宋体" w:hAnsi="宋体" w:cs="宋体"/>
                <w:kern w:val="0"/>
                <w:sz w:val="22"/>
                <w:szCs w:val="22"/>
              </w:rPr>
            </w:pPr>
            <w:r>
              <w:rPr>
                <w:rFonts w:hint="eastAsia" w:ascii="宋体" w:hAnsi="宋体" w:cs="宋体"/>
                <w:kern w:val="0"/>
                <w:sz w:val="22"/>
                <w:szCs w:val="22"/>
              </w:rPr>
              <w:t>　</w:t>
            </w:r>
          </w:p>
        </w:tc>
      </w:tr>
      <w:tr w14:paraId="6F495B19">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noWrap w:val="0"/>
            <w:vAlign w:val="center"/>
          </w:tcPr>
          <w:p w14:paraId="76156B2B">
            <w:pPr>
              <w:widowControl/>
              <w:jc w:val="left"/>
              <w:rPr>
                <w:rFonts w:ascii="宋体" w:hAnsi="宋体" w:cs="宋体"/>
                <w:kern w:val="0"/>
                <w:sz w:val="22"/>
                <w:szCs w:val="22"/>
              </w:rPr>
            </w:pPr>
          </w:p>
        </w:tc>
        <w:tc>
          <w:tcPr>
            <w:tcW w:w="1300" w:type="dxa"/>
            <w:tcBorders>
              <w:top w:val="nil"/>
              <w:left w:val="nil"/>
              <w:bottom w:val="single" w:color="auto" w:sz="4" w:space="0"/>
              <w:right w:val="single" w:color="auto" w:sz="4" w:space="0"/>
            </w:tcBorders>
            <w:noWrap w:val="0"/>
            <w:vAlign w:val="center"/>
          </w:tcPr>
          <w:p w14:paraId="59D3696D">
            <w:pPr>
              <w:widowControl/>
              <w:jc w:val="center"/>
              <w:rPr>
                <w:rFonts w:ascii="宋体" w:hAnsi="宋体" w:cs="宋体"/>
                <w:kern w:val="0"/>
                <w:sz w:val="22"/>
                <w:szCs w:val="22"/>
              </w:rPr>
            </w:pPr>
            <w:r>
              <w:rPr>
                <w:rFonts w:hint="eastAsia" w:ascii="宋体" w:hAnsi="宋体" w:cs="宋体"/>
                <w:kern w:val="0"/>
                <w:sz w:val="22"/>
                <w:szCs w:val="22"/>
              </w:rPr>
              <w:t>学位</w:t>
            </w:r>
          </w:p>
        </w:tc>
        <w:tc>
          <w:tcPr>
            <w:tcW w:w="1880" w:type="dxa"/>
            <w:tcBorders>
              <w:top w:val="nil"/>
              <w:left w:val="nil"/>
              <w:bottom w:val="single" w:color="auto" w:sz="4" w:space="0"/>
              <w:right w:val="single" w:color="auto" w:sz="4" w:space="0"/>
            </w:tcBorders>
            <w:noWrap w:val="0"/>
            <w:vAlign w:val="center"/>
          </w:tcPr>
          <w:p w14:paraId="550B19D5">
            <w:pPr>
              <w:widowControl/>
              <w:jc w:val="center"/>
              <w:rPr>
                <w:rFonts w:ascii="宋体" w:hAnsi="宋体" w:cs="宋体"/>
                <w:kern w:val="0"/>
                <w:sz w:val="22"/>
                <w:szCs w:val="22"/>
              </w:rPr>
            </w:pPr>
            <w:r>
              <w:rPr>
                <w:rFonts w:hint="eastAsia" w:ascii="宋体" w:hAnsi="宋体" w:cs="宋体"/>
                <w:kern w:val="0"/>
                <w:sz w:val="22"/>
                <w:szCs w:val="22"/>
              </w:rPr>
              <w:t>　</w:t>
            </w:r>
          </w:p>
        </w:tc>
        <w:tc>
          <w:tcPr>
            <w:tcW w:w="1707" w:type="dxa"/>
            <w:vMerge w:val="continue"/>
            <w:tcBorders>
              <w:top w:val="nil"/>
              <w:left w:val="single" w:color="auto" w:sz="4" w:space="0"/>
              <w:bottom w:val="single" w:color="auto" w:sz="4" w:space="0"/>
              <w:right w:val="single" w:color="auto" w:sz="4" w:space="0"/>
            </w:tcBorders>
            <w:noWrap w:val="0"/>
            <w:vAlign w:val="center"/>
          </w:tcPr>
          <w:p w14:paraId="6FDD19CE">
            <w:pPr>
              <w:widowControl/>
              <w:jc w:val="left"/>
              <w:rPr>
                <w:rFonts w:ascii="宋体" w:hAnsi="宋体" w:cs="宋体"/>
                <w:kern w:val="0"/>
                <w:sz w:val="22"/>
                <w:szCs w:val="22"/>
              </w:rPr>
            </w:pPr>
          </w:p>
        </w:tc>
        <w:tc>
          <w:tcPr>
            <w:tcW w:w="34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CE51EDE">
            <w:pPr>
              <w:widowControl/>
              <w:jc w:val="left"/>
              <w:rPr>
                <w:rFonts w:ascii="宋体" w:hAnsi="宋体" w:cs="宋体"/>
                <w:kern w:val="0"/>
                <w:sz w:val="22"/>
                <w:szCs w:val="22"/>
              </w:rPr>
            </w:pPr>
          </w:p>
        </w:tc>
      </w:tr>
      <w:tr w14:paraId="16DD471E">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noWrap w:val="0"/>
            <w:vAlign w:val="center"/>
          </w:tcPr>
          <w:p w14:paraId="650D73B4">
            <w:pPr>
              <w:widowControl/>
              <w:jc w:val="center"/>
              <w:rPr>
                <w:rFonts w:ascii="宋体" w:hAnsi="宋体" w:cs="宋体"/>
                <w:kern w:val="0"/>
                <w:sz w:val="22"/>
                <w:szCs w:val="22"/>
              </w:rPr>
            </w:pPr>
            <w:r>
              <w:rPr>
                <w:rFonts w:hint="eastAsia" w:ascii="宋体" w:hAnsi="宋体" w:cs="宋体"/>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noWrap w:val="0"/>
            <w:vAlign w:val="center"/>
          </w:tcPr>
          <w:p w14:paraId="7304D0AD">
            <w:pPr>
              <w:widowControl/>
              <w:jc w:val="center"/>
              <w:rPr>
                <w:rFonts w:ascii="宋体" w:hAnsi="宋体" w:cs="宋体"/>
                <w:kern w:val="0"/>
                <w:sz w:val="22"/>
                <w:szCs w:val="22"/>
              </w:rPr>
            </w:pPr>
            <w:r>
              <w:rPr>
                <w:rFonts w:hint="eastAsia" w:ascii="宋体" w:hAnsi="宋体" w:cs="宋体"/>
                <w:kern w:val="0"/>
                <w:sz w:val="22"/>
                <w:szCs w:val="22"/>
              </w:rPr>
              <w:t>　</w:t>
            </w:r>
          </w:p>
        </w:tc>
        <w:tc>
          <w:tcPr>
            <w:tcW w:w="1707" w:type="dxa"/>
            <w:tcBorders>
              <w:top w:val="nil"/>
              <w:left w:val="nil"/>
              <w:bottom w:val="single" w:color="auto" w:sz="4" w:space="0"/>
              <w:right w:val="single" w:color="auto" w:sz="4" w:space="0"/>
            </w:tcBorders>
            <w:noWrap w:val="0"/>
            <w:vAlign w:val="center"/>
          </w:tcPr>
          <w:p w14:paraId="30ED5C49">
            <w:pPr>
              <w:widowControl/>
              <w:jc w:val="center"/>
              <w:rPr>
                <w:rFonts w:ascii="宋体" w:hAnsi="宋体" w:cs="宋体"/>
                <w:kern w:val="0"/>
                <w:sz w:val="22"/>
                <w:szCs w:val="22"/>
              </w:rPr>
            </w:pPr>
            <w:r>
              <w:rPr>
                <w:rFonts w:hint="eastAsia" w:ascii="宋体" w:hAnsi="宋体" w:cs="宋体"/>
                <w:kern w:val="0"/>
                <w:sz w:val="22"/>
                <w:szCs w:val="22"/>
              </w:rPr>
              <w:t>资格级别</w:t>
            </w:r>
          </w:p>
        </w:tc>
        <w:tc>
          <w:tcPr>
            <w:tcW w:w="3433" w:type="dxa"/>
            <w:gridSpan w:val="2"/>
            <w:tcBorders>
              <w:top w:val="single" w:color="auto" w:sz="4" w:space="0"/>
              <w:left w:val="nil"/>
              <w:bottom w:val="single" w:color="auto" w:sz="4" w:space="0"/>
              <w:right w:val="single" w:color="auto" w:sz="4" w:space="0"/>
            </w:tcBorders>
            <w:noWrap w:val="0"/>
            <w:vAlign w:val="center"/>
          </w:tcPr>
          <w:p w14:paraId="6B28C4C9">
            <w:pPr>
              <w:widowControl/>
              <w:jc w:val="center"/>
              <w:rPr>
                <w:rFonts w:ascii="宋体" w:hAnsi="宋体" w:cs="宋体"/>
                <w:kern w:val="0"/>
                <w:sz w:val="22"/>
                <w:szCs w:val="22"/>
              </w:rPr>
            </w:pPr>
            <w:r>
              <w:rPr>
                <w:rFonts w:hint="eastAsia" w:ascii="宋体" w:hAnsi="宋体" w:cs="宋体"/>
                <w:kern w:val="0"/>
                <w:sz w:val="22"/>
                <w:szCs w:val="22"/>
              </w:rPr>
              <w:t>　</w:t>
            </w:r>
          </w:p>
        </w:tc>
      </w:tr>
      <w:tr w14:paraId="729F2E03">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noWrap w:val="0"/>
            <w:vAlign w:val="center"/>
          </w:tcPr>
          <w:p w14:paraId="3D174587">
            <w:pPr>
              <w:widowControl/>
              <w:jc w:val="center"/>
              <w:rPr>
                <w:rFonts w:ascii="宋体" w:hAnsi="宋体" w:cs="宋体"/>
                <w:kern w:val="0"/>
                <w:sz w:val="22"/>
                <w:szCs w:val="22"/>
              </w:rPr>
            </w:pPr>
            <w:r>
              <w:rPr>
                <w:rFonts w:hint="eastAsia" w:ascii="宋体" w:hAnsi="宋体" w:cs="宋体"/>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noWrap w:val="0"/>
            <w:vAlign w:val="center"/>
          </w:tcPr>
          <w:p w14:paraId="4642F7BA">
            <w:pPr>
              <w:widowControl/>
              <w:jc w:val="center"/>
              <w:rPr>
                <w:rFonts w:ascii="宋体" w:hAnsi="宋体" w:cs="宋体"/>
                <w:kern w:val="0"/>
                <w:sz w:val="22"/>
                <w:szCs w:val="22"/>
              </w:rPr>
            </w:pPr>
            <w:r>
              <w:rPr>
                <w:rFonts w:hint="eastAsia" w:ascii="宋体" w:hAnsi="宋体" w:cs="宋体"/>
                <w:kern w:val="0"/>
                <w:sz w:val="22"/>
                <w:szCs w:val="22"/>
              </w:rPr>
              <w:t>　</w:t>
            </w:r>
          </w:p>
        </w:tc>
        <w:tc>
          <w:tcPr>
            <w:tcW w:w="1707" w:type="dxa"/>
            <w:tcBorders>
              <w:top w:val="nil"/>
              <w:left w:val="nil"/>
              <w:bottom w:val="single" w:color="auto" w:sz="4" w:space="0"/>
              <w:right w:val="single" w:color="auto" w:sz="4" w:space="0"/>
            </w:tcBorders>
            <w:noWrap w:val="0"/>
            <w:vAlign w:val="center"/>
          </w:tcPr>
          <w:p w14:paraId="1DC9B7B0">
            <w:pPr>
              <w:widowControl/>
              <w:jc w:val="center"/>
              <w:rPr>
                <w:rFonts w:ascii="宋体" w:hAnsi="宋体" w:cs="宋体"/>
                <w:kern w:val="0"/>
                <w:sz w:val="22"/>
                <w:szCs w:val="22"/>
              </w:rPr>
            </w:pPr>
            <w:r>
              <w:rPr>
                <w:rFonts w:hint="eastAsia" w:ascii="宋体" w:hAnsi="宋体" w:cs="宋体"/>
                <w:kern w:val="0"/>
                <w:sz w:val="22"/>
                <w:szCs w:val="22"/>
              </w:rPr>
              <w:t>现工作单位</w:t>
            </w:r>
          </w:p>
        </w:tc>
        <w:tc>
          <w:tcPr>
            <w:tcW w:w="3433" w:type="dxa"/>
            <w:gridSpan w:val="2"/>
            <w:tcBorders>
              <w:top w:val="single" w:color="auto" w:sz="4" w:space="0"/>
              <w:left w:val="nil"/>
              <w:bottom w:val="single" w:color="auto" w:sz="4" w:space="0"/>
              <w:right w:val="single" w:color="auto" w:sz="4" w:space="0"/>
            </w:tcBorders>
            <w:noWrap w:val="0"/>
            <w:vAlign w:val="center"/>
          </w:tcPr>
          <w:p w14:paraId="0DD6D132">
            <w:pPr>
              <w:widowControl/>
              <w:jc w:val="center"/>
              <w:rPr>
                <w:rFonts w:ascii="宋体" w:hAnsi="宋体" w:cs="宋体"/>
                <w:kern w:val="0"/>
                <w:sz w:val="22"/>
                <w:szCs w:val="22"/>
              </w:rPr>
            </w:pPr>
            <w:r>
              <w:rPr>
                <w:rFonts w:hint="eastAsia" w:ascii="宋体" w:hAnsi="宋体" w:cs="宋体"/>
                <w:kern w:val="0"/>
                <w:sz w:val="22"/>
                <w:szCs w:val="22"/>
              </w:rPr>
              <w:t>　</w:t>
            </w:r>
          </w:p>
        </w:tc>
      </w:tr>
      <w:tr w14:paraId="7B61847A">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noWrap w:val="0"/>
            <w:vAlign w:val="center"/>
          </w:tcPr>
          <w:p w14:paraId="41E2C6B7">
            <w:pPr>
              <w:widowControl/>
              <w:jc w:val="center"/>
              <w:rPr>
                <w:rFonts w:ascii="宋体" w:hAnsi="宋体" w:cs="宋体"/>
                <w:kern w:val="0"/>
                <w:sz w:val="22"/>
                <w:szCs w:val="22"/>
              </w:rPr>
            </w:pPr>
            <w:r>
              <w:rPr>
                <w:rFonts w:hint="eastAsia" w:ascii="宋体" w:hAnsi="宋体" w:cs="宋体"/>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noWrap w:val="0"/>
            <w:vAlign w:val="center"/>
          </w:tcPr>
          <w:p w14:paraId="2784A89E">
            <w:pPr>
              <w:widowControl/>
              <w:jc w:val="center"/>
              <w:rPr>
                <w:rFonts w:ascii="宋体" w:hAnsi="宋体" w:cs="宋体"/>
                <w:kern w:val="0"/>
                <w:sz w:val="22"/>
                <w:szCs w:val="22"/>
              </w:rPr>
            </w:pPr>
            <w:r>
              <w:rPr>
                <w:rFonts w:hint="eastAsia" w:ascii="宋体" w:hAnsi="宋体" w:cs="宋体"/>
                <w:kern w:val="0"/>
                <w:sz w:val="22"/>
                <w:szCs w:val="22"/>
              </w:rPr>
              <w:t>　</w:t>
            </w:r>
          </w:p>
        </w:tc>
      </w:tr>
      <w:tr w14:paraId="02AC7045">
        <w:tblPrEx>
          <w:tblCellMar>
            <w:top w:w="0" w:type="dxa"/>
            <w:left w:w="108" w:type="dxa"/>
            <w:bottom w:w="0" w:type="dxa"/>
            <w:right w:w="108" w:type="dxa"/>
          </w:tblCellMar>
        </w:tblPrEx>
        <w:trPr>
          <w:trHeight w:val="90" w:hRule="atLeast"/>
          <w:jc w:val="center"/>
        </w:trPr>
        <w:tc>
          <w:tcPr>
            <w:tcW w:w="2260" w:type="dxa"/>
            <w:tcBorders>
              <w:top w:val="nil"/>
              <w:left w:val="single" w:color="auto" w:sz="4" w:space="0"/>
              <w:bottom w:val="single" w:color="auto" w:sz="4" w:space="0"/>
              <w:right w:val="single" w:color="auto" w:sz="4" w:space="0"/>
            </w:tcBorders>
            <w:noWrap w:val="0"/>
            <w:vAlign w:val="center"/>
          </w:tcPr>
          <w:p w14:paraId="6A6822C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kern w:val="0"/>
                <w:sz w:val="22"/>
                <w:szCs w:val="22"/>
              </w:rPr>
            </w:pPr>
            <w:r>
              <w:rPr>
                <w:rFonts w:hint="eastAsia" w:ascii="宋体" w:hAnsi="宋体" w:cs="宋体"/>
                <w:kern w:val="0"/>
                <w:sz w:val="22"/>
                <w:szCs w:val="22"/>
              </w:rPr>
              <w:t>简历</w:t>
            </w:r>
          </w:p>
          <w:p w14:paraId="37FCD5A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kern w:val="0"/>
                <w:sz w:val="22"/>
                <w:szCs w:val="22"/>
              </w:rPr>
            </w:pPr>
            <w:r>
              <w:rPr>
                <w:rFonts w:hint="eastAsia" w:ascii="宋体" w:hAnsi="宋体" w:cs="宋体"/>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noWrap w:val="0"/>
            <w:vAlign w:val="center"/>
          </w:tcPr>
          <w:p w14:paraId="204C267A">
            <w:pPr>
              <w:widowControl/>
              <w:jc w:val="left"/>
              <w:rPr>
                <w:rFonts w:ascii="宋体" w:hAnsi="宋体" w:cs="宋体"/>
                <w:kern w:val="0"/>
                <w:sz w:val="22"/>
                <w:szCs w:val="22"/>
              </w:rPr>
            </w:pPr>
          </w:p>
        </w:tc>
      </w:tr>
      <w:tr w14:paraId="69AF5474">
        <w:tblPrEx>
          <w:tblCellMar>
            <w:top w:w="0" w:type="dxa"/>
            <w:left w:w="108" w:type="dxa"/>
            <w:bottom w:w="0" w:type="dxa"/>
            <w:right w:w="108" w:type="dxa"/>
          </w:tblCellMar>
        </w:tblPrEx>
        <w:trPr>
          <w:trHeight w:val="1573" w:hRule="atLeast"/>
          <w:jc w:val="center"/>
        </w:trPr>
        <w:tc>
          <w:tcPr>
            <w:tcW w:w="5440" w:type="dxa"/>
            <w:gridSpan w:val="3"/>
            <w:tcBorders>
              <w:top w:val="single" w:color="auto" w:sz="4" w:space="0"/>
              <w:left w:val="single" w:color="auto" w:sz="4" w:space="0"/>
              <w:bottom w:val="single" w:color="auto" w:sz="4" w:space="0"/>
              <w:right w:val="single" w:color="auto" w:sz="4" w:space="0"/>
            </w:tcBorders>
            <w:noWrap w:val="0"/>
            <w:vAlign w:val="center"/>
          </w:tcPr>
          <w:p w14:paraId="709A9600">
            <w:pPr>
              <w:widowControl/>
              <w:jc w:val="left"/>
              <w:rPr>
                <w:rFonts w:ascii="宋体" w:hAnsi="宋体" w:cs="宋体"/>
                <w:kern w:val="0"/>
                <w:sz w:val="22"/>
                <w:szCs w:val="22"/>
              </w:rPr>
            </w:pPr>
            <w:r>
              <w:rPr>
                <w:rFonts w:hint="eastAsia" w:ascii="宋体" w:hAnsi="宋体" w:cs="宋体"/>
                <w:kern w:val="0"/>
                <w:sz w:val="22"/>
                <w:szCs w:val="22"/>
              </w:rPr>
              <w:t>本人承诺：</w:t>
            </w:r>
          </w:p>
          <w:p w14:paraId="1BB666E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cs="宋体"/>
                <w:kern w:val="0"/>
                <w:sz w:val="22"/>
                <w:szCs w:val="22"/>
              </w:rPr>
            </w:pPr>
            <w:r>
              <w:rPr>
                <w:rFonts w:hint="eastAsia" w:ascii="宋体" w:hAnsi="宋体" w:cs="宋体"/>
                <w:kern w:val="0"/>
                <w:sz w:val="22"/>
                <w:szCs w:val="22"/>
              </w:rPr>
              <w:t xml:space="preserve">    我承诺，以上信息真实正确，本人符合报名岗位引进条件，若有弄虚作假行为，自愿放弃引进资格。</w:t>
            </w:r>
          </w:p>
          <w:p w14:paraId="27E77070">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ascii="宋体" w:hAnsi="宋体" w:cs="宋体"/>
                <w:kern w:val="0"/>
                <w:sz w:val="22"/>
                <w:szCs w:val="22"/>
              </w:rPr>
            </w:pPr>
            <w:r>
              <w:rPr>
                <w:rFonts w:hint="eastAsia" w:ascii="宋体" w:hAnsi="宋体" w:cs="宋体"/>
                <w:kern w:val="0"/>
                <w:sz w:val="22"/>
                <w:szCs w:val="22"/>
              </w:rPr>
              <w:t xml:space="preserve">                     承诺人签字：</w:t>
            </w:r>
          </w:p>
          <w:p w14:paraId="3A831122">
            <w:pPr>
              <w:widowControl/>
              <w:jc w:val="left"/>
              <w:rPr>
                <w:rFonts w:ascii="宋体" w:hAnsi="宋体" w:cs="宋体"/>
                <w:kern w:val="0"/>
                <w:sz w:val="22"/>
                <w:szCs w:val="22"/>
              </w:rPr>
            </w:pPr>
            <w:r>
              <w:rPr>
                <w:rFonts w:hint="eastAsia" w:ascii="宋体" w:hAnsi="宋体" w:cs="宋体"/>
                <w:kern w:val="0"/>
                <w:sz w:val="22"/>
                <w:szCs w:val="22"/>
              </w:rPr>
              <w:t xml:space="preserve">                   年    月     日</w:t>
            </w:r>
          </w:p>
        </w:tc>
        <w:tc>
          <w:tcPr>
            <w:tcW w:w="1707" w:type="dxa"/>
            <w:tcBorders>
              <w:top w:val="nil"/>
              <w:left w:val="nil"/>
              <w:bottom w:val="single" w:color="auto" w:sz="4" w:space="0"/>
              <w:right w:val="single" w:color="auto" w:sz="4" w:space="0"/>
            </w:tcBorders>
            <w:noWrap w:val="0"/>
            <w:vAlign w:val="center"/>
          </w:tcPr>
          <w:p w14:paraId="572948CC">
            <w:pPr>
              <w:widowControl/>
              <w:jc w:val="center"/>
              <w:rPr>
                <w:rFonts w:ascii="宋体" w:hAnsi="宋体" w:cs="宋体"/>
                <w:kern w:val="0"/>
                <w:sz w:val="22"/>
                <w:szCs w:val="22"/>
              </w:rPr>
            </w:pPr>
            <w:r>
              <w:rPr>
                <w:rFonts w:hint="eastAsia" w:ascii="宋体" w:hAnsi="宋体" w:cs="宋体"/>
                <w:kern w:val="0"/>
                <w:sz w:val="22"/>
                <w:szCs w:val="22"/>
              </w:rPr>
              <w:t>单位审核</w:t>
            </w:r>
          </w:p>
          <w:p w14:paraId="3559B0B4">
            <w:pPr>
              <w:widowControl/>
              <w:jc w:val="center"/>
              <w:rPr>
                <w:rFonts w:ascii="宋体" w:hAnsi="宋体" w:cs="宋体"/>
                <w:kern w:val="0"/>
                <w:sz w:val="22"/>
                <w:szCs w:val="22"/>
              </w:rPr>
            </w:pPr>
            <w:r>
              <w:rPr>
                <w:rFonts w:hint="eastAsia" w:ascii="宋体" w:hAnsi="宋体" w:cs="宋体"/>
                <w:kern w:val="0"/>
                <w:sz w:val="22"/>
                <w:szCs w:val="22"/>
              </w:rPr>
              <w:t>意见</w:t>
            </w:r>
          </w:p>
        </w:tc>
        <w:tc>
          <w:tcPr>
            <w:tcW w:w="3433" w:type="dxa"/>
            <w:gridSpan w:val="2"/>
            <w:tcBorders>
              <w:top w:val="single" w:color="auto" w:sz="4" w:space="0"/>
              <w:left w:val="nil"/>
              <w:bottom w:val="single" w:color="auto" w:sz="4" w:space="0"/>
              <w:right w:val="single" w:color="auto" w:sz="4" w:space="0"/>
            </w:tcBorders>
            <w:noWrap w:val="0"/>
            <w:vAlign w:val="center"/>
          </w:tcPr>
          <w:p w14:paraId="3D3DD4DB">
            <w:pPr>
              <w:widowControl/>
              <w:jc w:val="left"/>
              <w:rPr>
                <w:rFonts w:ascii="宋体" w:hAnsi="宋体" w:cs="宋体"/>
                <w:kern w:val="0"/>
                <w:sz w:val="22"/>
                <w:szCs w:val="22"/>
              </w:rPr>
            </w:pPr>
            <w:r>
              <w:rPr>
                <w:rFonts w:hint="eastAsia" w:ascii="宋体" w:hAnsi="宋体" w:cs="宋体"/>
                <w:kern w:val="0"/>
                <w:sz w:val="22"/>
                <w:szCs w:val="22"/>
              </w:rPr>
              <w:t xml:space="preserve">审核人签字： </w:t>
            </w:r>
          </w:p>
          <w:p w14:paraId="4100606C">
            <w:pPr>
              <w:pStyle w:val="3"/>
              <w:ind w:left="420"/>
            </w:pPr>
          </w:p>
          <w:p w14:paraId="6410DEBE">
            <w:pPr>
              <w:pStyle w:val="3"/>
              <w:ind w:left="420"/>
            </w:pPr>
          </w:p>
          <w:p w14:paraId="147EB0D8">
            <w:pPr>
              <w:widowControl/>
              <w:jc w:val="left"/>
              <w:rPr>
                <w:rFonts w:ascii="宋体" w:hAnsi="宋体" w:cs="宋体"/>
                <w:kern w:val="0"/>
                <w:sz w:val="22"/>
                <w:szCs w:val="22"/>
              </w:rPr>
            </w:pPr>
            <w:r>
              <w:rPr>
                <w:rFonts w:hint="eastAsia" w:ascii="宋体" w:hAnsi="宋体" w:cs="宋体"/>
                <w:kern w:val="0"/>
                <w:sz w:val="22"/>
                <w:szCs w:val="22"/>
              </w:rPr>
              <w:t xml:space="preserve">           （单位盖章）</w:t>
            </w:r>
          </w:p>
          <w:p w14:paraId="482882C0">
            <w:pPr>
              <w:widowControl/>
              <w:jc w:val="left"/>
              <w:rPr>
                <w:rFonts w:ascii="宋体" w:hAnsi="宋体" w:cs="宋体"/>
                <w:kern w:val="0"/>
                <w:sz w:val="22"/>
                <w:szCs w:val="22"/>
              </w:rPr>
            </w:pPr>
            <w:r>
              <w:rPr>
                <w:rFonts w:hint="eastAsia" w:ascii="宋体" w:hAnsi="宋体" w:cs="宋体"/>
                <w:kern w:val="0"/>
                <w:sz w:val="22"/>
                <w:szCs w:val="22"/>
              </w:rPr>
              <w:t xml:space="preserve">           年      月      日</w:t>
            </w:r>
          </w:p>
        </w:tc>
      </w:tr>
    </w:tbl>
    <w:p w14:paraId="4C16482A">
      <w:pPr>
        <w:rPr>
          <w:rFonts w:hint="eastAsia" w:ascii="宋体" w:hAnsi="宋体" w:cs="宋体"/>
          <w:b/>
          <w:bCs/>
          <w:kern w:val="0"/>
          <w:sz w:val="32"/>
          <w:szCs w:val="32"/>
        </w:rPr>
      </w:pPr>
      <w:r>
        <w:rPr>
          <w:rFonts w:hint="eastAsia" w:ascii="宋体" w:hAnsi="宋体" w:cs="宋体"/>
          <w:b/>
          <w:bCs/>
          <w:kern w:val="0"/>
          <w:sz w:val="32"/>
          <w:szCs w:val="32"/>
        </w:rPr>
        <w:br w:type="page"/>
      </w:r>
    </w:p>
    <w:p w14:paraId="17CE6971">
      <w:pPr>
        <w:widowControl/>
        <w:jc w:val="left"/>
        <w:rPr>
          <w:rFonts w:hint="eastAsia" w:ascii="CESI黑体-GB2312" w:hAnsi="CESI黑体-GB2312" w:eastAsia="CESI黑体-GB2312" w:cs="CESI黑体-GB2312"/>
          <w:b w:val="0"/>
          <w:bCs w:val="0"/>
          <w:color w:val="auto"/>
          <w:kern w:val="0"/>
          <w:sz w:val="32"/>
          <w:szCs w:val="32"/>
        </w:rPr>
      </w:pPr>
      <w:r>
        <w:rPr>
          <w:rFonts w:hint="eastAsia" w:ascii="CESI黑体-GB2312" w:hAnsi="CESI黑体-GB2312" w:eastAsia="CESI黑体-GB2312" w:cs="CESI黑体-GB2312"/>
          <w:b w:val="0"/>
          <w:bCs w:val="0"/>
          <w:color w:val="auto"/>
          <w:kern w:val="0"/>
          <w:sz w:val="32"/>
          <w:szCs w:val="32"/>
        </w:rPr>
        <w:t>附件3：</w:t>
      </w:r>
    </w:p>
    <w:p w14:paraId="2149E680">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无不得引进情形承诺书</w:t>
      </w:r>
    </w:p>
    <w:p w14:paraId="3A14C6C9">
      <w:pPr>
        <w:spacing w:line="600" w:lineRule="exact"/>
        <w:jc w:val="center"/>
        <w:rPr>
          <w:rFonts w:ascii="黑体" w:hAnsi="黑体" w:eastAsia="黑体" w:cs="黑体"/>
          <w:sz w:val="44"/>
          <w:szCs w:val="44"/>
        </w:rPr>
      </w:pPr>
    </w:p>
    <w:p w14:paraId="1F782AEA">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本人承诺无以下不得引进情形：</w:t>
      </w:r>
    </w:p>
    <w:p w14:paraId="01160A7D">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（1）在读的普通高等学校全日制本科生、研究生（不含应届毕业生）；</w:t>
      </w:r>
    </w:p>
    <w:p w14:paraId="5DF54AE8">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（2）试用期内和未满最低服务年限的机关、事业单位工作人员；</w:t>
      </w:r>
    </w:p>
    <w:p w14:paraId="5208EF08">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犯罪受过刑事处罚的；因违法违纪受过行政处罚、党政纪处分的；被开除中国共产党党籍和公职；在立案审查期间或在党纪、政务处分影响期内的；被开除公职的人员;被依法列为失信联合惩戒对象的人员；隐瞒个人重要信息，欺骗或误导组织的；</w:t>
      </w:r>
    </w:p>
    <w:p w14:paraId="69C9BDF2">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（4）在公务员招考或事业单位公开招聘中被认定有舞弊等严重违反录用（聘用）纪律行为并在禁考期限内的人员</w:t>
      </w:r>
      <w:r>
        <w:rPr>
          <w:rFonts w:hint="eastAsia" w:ascii="仿宋_GB2312" w:hAnsi="仿宋_GB2312" w:eastAsia="仿宋_GB2312" w:cs="仿宋_GB2312"/>
          <w:sz w:val="32"/>
          <w:szCs w:val="32"/>
          <w:lang w:eastAsia="zh-CN"/>
        </w:rPr>
        <w:t>；</w:t>
      </w:r>
    </w:p>
    <w:p w14:paraId="5C8BE985">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（5）现役军人</w:t>
      </w:r>
      <w:r>
        <w:rPr>
          <w:rFonts w:hint="eastAsia" w:ascii="仿宋_GB2312" w:hAnsi="仿宋_GB2312" w:eastAsia="仿宋_GB2312" w:cs="仿宋_GB2312"/>
          <w:sz w:val="32"/>
          <w:szCs w:val="32"/>
          <w:lang w:eastAsia="zh-CN"/>
        </w:rPr>
        <w:t>；</w:t>
      </w:r>
    </w:p>
    <w:p w14:paraId="637B6EA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（6）引进后即构成回避关系岗位的人员；</w:t>
      </w:r>
    </w:p>
    <w:p w14:paraId="1243CF9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（7）法律法规规定不得聘用为事业单位工作人员的其他情形人员。</w:t>
      </w:r>
    </w:p>
    <w:p w14:paraId="40230BE0">
      <w:pPr>
        <w:spacing w:line="60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eastAsia="zh-CN"/>
        </w:rPr>
        <w:t>（签字）</w:t>
      </w:r>
      <w:r>
        <w:rPr>
          <w:rFonts w:hint="eastAsia" w:ascii="仿宋_GB2312" w:hAnsi="仿宋_GB2312" w:eastAsia="仿宋_GB2312" w:cs="仿宋_GB2312"/>
          <w:sz w:val="32"/>
          <w:szCs w:val="32"/>
        </w:rPr>
        <w:t>：</w:t>
      </w:r>
    </w:p>
    <w:p w14:paraId="28A0230A">
      <w:pPr>
        <w:spacing w:line="600" w:lineRule="exact"/>
        <w:ind w:firstLine="6400" w:firstLineChars="2000"/>
        <w:rPr>
          <w:rFonts w:ascii="仿宋_GB2312" w:hAnsi="仿宋_GB2312" w:eastAsia="仿宋_GB2312" w:cs="仿宋_GB2312"/>
          <w:sz w:val="32"/>
          <w:szCs w:val="32"/>
        </w:rPr>
      </w:pPr>
    </w:p>
    <w:p w14:paraId="18457186">
      <w:pPr>
        <w:spacing w:line="60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1F611842">
      <w:pPr>
        <w:pStyle w:val="3"/>
        <w:spacing w:line="560" w:lineRule="exact"/>
        <w:ind w:left="0" w:leftChars="0"/>
        <w:rPr>
          <w:sz w:val="32"/>
          <w:szCs w:val="32"/>
        </w:rPr>
      </w:pPr>
    </w:p>
    <w:p w14:paraId="75EAC010">
      <w:r>
        <w:br w:type="page"/>
      </w:r>
    </w:p>
    <w:p w14:paraId="1046CEA1"/>
    <w:p w14:paraId="05330797">
      <w:pPr>
        <w:widowControl/>
        <w:jc w:val="left"/>
        <w:rPr>
          <w:rFonts w:hint="eastAsia" w:ascii="CESI黑体-GB2312" w:hAnsi="CESI黑体-GB2312" w:eastAsia="CESI黑体-GB2312" w:cs="CESI黑体-GB2312"/>
          <w:b w:val="0"/>
          <w:bCs w:val="0"/>
          <w:kern w:val="0"/>
          <w:sz w:val="32"/>
          <w:szCs w:val="32"/>
        </w:rPr>
      </w:pPr>
      <w:r>
        <w:rPr>
          <w:rFonts w:hint="eastAsia" w:ascii="CESI黑体-GB2312" w:hAnsi="CESI黑体-GB2312" w:eastAsia="CESI黑体-GB2312" w:cs="CESI黑体-GB2312"/>
          <w:b w:val="0"/>
          <w:bCs w:val="0"/>
          <w:kern w:val="0"/>
          <w:sz w:val="32"/>
          <w:szCs w:val="32"/>
        </w:rPr>
        <w:t>附件4：</w:t>
      </w:r>
    </w:p>
    <w:p w14:paraId="19078F9C">
      <w:pPr>
        <w:spacing w:line="560" w:lineRule="exact"/>
        <w:rPr>
          <w:b/>
          <w:sz w:val="44"/>
          <w:szCs w:val="44"/>
        </w:rPr>
      </w:pPr>
    </w:p>
    <w:p w14:paraId="5850B137">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回避承诺书</w:t>
      </w:r>
    </w:p>
    <w:p w14:paraId="36A5A6EE">
      <w:pPr>
        <w:spacing w:line="560" w:lineRule="exact"/>
        <w:rPr>
          <w:sz w:val="32"/>
          <w:szCs w:val="32"/>
        </w:rPr>
      </w:pPr>
    </w:p>
    <w:p w14:paraId="632D2516">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本人与满洲里市</w:t>
      </w:r>
      <w:r>
        <w:rPr>
          <w:rFonts w:hint="eastAsia" w:ascii="仿宋_GB2312" w:hAnsi="仿宋_GB2312" w:eastAsia="仿宋_GB2312" w:cs="仿宋_GB2312"/>
          <w:sz w:val="32"/>
          <w:szCs w:val="32"/>
          <w:lang w:eastAsia="zh-CN"/>
        </w:rPr>
        <w:t>边境经济合作区</w:t>
      </w:r>
      <w:r>
        <w:rPr>
          <w:rFonts w:hint="eastAsia" w:ascii="仿宋_GB2312" w:hAnsi="仿宋_GB2312" w:eastAsia="仿宋_GB2312" w:cs="仿宋_GB2312"/>
          <w:sz w:val="32"/>
          <w:szCs w:val="32"/>
        </w:rPr>
        <w:t>领导班子成员不存在下列回避情形:</w:t>
      </w:r>
    </w:p>
    <w:p w14:paraId="37E7D715">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一、夫妻关系。</w:t>
      </w:r>
    </w:p>
    <w:p w14:paraId="12361799">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二、直系血亲关系，包括祖父母、外祖父母、父母、孙子女、外孙子女。</w:t>
      </w:r>
    </w:p>
    <w:p w14:paraId="047D7ECB">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三、三代以内旁系血亲关系，包括伯叔姑舅姨、兄弟姐妹、堂兄弟姐妹、表兄弟姐妹、侄子女、甥子女。</w:t>
      </w:r>
    </w:p>
    <w:p w14:paraId="0871F678">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四、近姻亲关系，包括配偶的父母、配偶的兄弟姐妹及其配偶、子女的配偶及子女配偶的父母、三代以内旁系血的配偶。</w:t>
      </w:r>
    </w:p>
    <w:p w14:paraId="4233E21A">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五、共同生活的继父母、继子女关系视为前款规定的亲属关系。</w:t>
      </w:r>
    </w:p>
    <w:p w14:paraId="502E7A0D">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以上承诺真实有效。</w:t>
      </w:r>
    </w:p>
    <w:p w14:paraId="7E483A25">
      <w:pPr>
        <w:spacing w:line="560" w:lineRule="exact"/>
        <w:rPr>
          <w:rFonts w:ascii="仿宋_GB2312" w:hAnsi="仿宋_GB2312" w:eastAsia="仿宋_GB2312" w:cs="仿宋_GB2312"/>
          <w:sz w:val="32"/>
          <w:szCs w:val="32"/>
        </w:rPr>
      </w:pPr>
    </w:p>
    <w:p w14:paraId="1813719D">
      <w:pPr>
        <w:pStyle w:val="3"/>
        <w:ind w:left="420"/>
      </w:pPr>
    </w:p>
    <w:p w14:paraId="281CFD96"/>
    <w:p w14:paraId="35FDEE1D">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14:paraId="463C8ACC">
      <w:pPr>
        <w:rPr>
          <w:rFonts w:ascii="仿宋_GB2312" w:hAnsi="仿宋_GB2312" w:eastAsia="仿宋_GB2312" w:cs="仿宋_GB2312"/>
          <w:sz w:val="32"/>
          <w:szCs w:val="32"/>
        </w:rPr>
      </w:pPr>
    </w:p>
    <w:p w14:paraId="3EC1007D">
      <w:pPr>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329A876C"/>
    <w:p w14:paraId="58109619"/>
    <w:bookmarkEnd w:id="0"/>
    <w:sectPr>
      <w:headerReference r:id="rId4" w:type="default"/>
      <w:footerReference r:id="rId5" w:type="default"/>
      <w:pgSz w:w="11906" w:h="16838"/>
      <w:pgMar w:top="850"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5167">
    <w:pPr>
      <w:pStyle w:val="4"/>
      <w:jc w:val="center"/>
    </w:pPr>
    <w:r>
      <w:fldChar w:fldCharType="begin"/>
    </w:r>
    <w:r>
      <w:instrText xml:space="preserve"> PAGE   \* MERGEFORMAT </w:instrText>
    </w:r>
    <w:r>
      <w:fldChar w:fldCharType="separate"/>
    </w:r>
    <w:r>
      <w:rPr>
        <w:lang w:val="zh-CN"/>
      </w:rPr>
      <w:t>12</w:t>
    </w:r>
    <w:r>
      <w:rPr>
        <w:lang w:val="zh-CN"/>
      </w:rPr>
      <w:fldChar w:fldCharType="end"/>
    </w:r>
  </w:p>
  <w:p w14:paraId="66A875F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686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91DAD8">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791DAD8">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2E03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E46E4"/>
    <w:multiLevelType w:val="singleLevel"/>
    <w:tmpl w:val="7D3E46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WFkOTk3OTVkOWRjMDNlMWE3NDNjMDg2MzcyZGYifQ=="/>
  </w:docVars>
  <w:rsids>
    <w:rsidRoot w:val="6BDE7A76"/>
    <w:rsid w:val="1EA0571C"/>
    <w:rsid w:val="2FFF2202"/>
    <w:rsid w:val="32530631"/>
    <w:rsid w:val="35BB13E8"/>
    <w:rsid w:val="3A162F0B"/>
    <w:rsid w:val="3AAD3BE1"/>
    <w:rsid w:val="3BA31620"/>
    <w:rsid w:val="3BF66DBA"/>
    <w:rsid w:val="3C2E1A84"/>
    <w:rsid w:val="3FEB6F60"/>
    <w:rsid w:val="4ECFBBA4"/>
    <w:rsid w:val="528E774A"/>
    <w:rsid w:val="566999CD"/>
    <w:rsid w:val="577AC1E2"/>
    <w:rsid w:val="5BD2BA38"/>
    <w:rsid w:val="5D93E1CA"/>
    <w:rsid w:val="67570E79"/>
    <w:rsid w:val="677F806F"/>
    <w:rsid w:val="6BDE7A76"/>
    <w:rsid w:val="73FF842C"/>
    <w:rsid w:val="776FA4B2"/>
    <w:rsid w:val="77BDFA91"/>
    <w:rsid w:val="77D46BE7"/>
    <w:rsid w:val="7B5BECC0"/>
    <w:rsid w:val="7BF7949B"/>
    <w:rsid w:val="7C6A2723"/>
    <w:rsid w:val="7EDFB439"/>
    <w:rsid w:val="7EFE0A41"/>
    <w:rsid w:val="7FB4D255"/>
    <w:rsid w:val="7FBFB5B3"/>
    <w:rsid w:val="7FF5E917"/>
    <w:rsid w:val="7FFF5676"/>
    <w:rsid w:val="7FFFB82F"/>
    <w:rsid w:val="9BEE8B0D"/>
    <w:rsid w:val="9DFA1982"/>
    <w:rsid w:val="9FFF264F"/>
    <w:rsid w:val="AFBD950C"/>
    <w:rsid w:val="BBCFA83B"/>
    <w:rsid w:val="C59F12BB"/>
    <w:rsid w:val="CEFB9D1F"/>
    <w:rsid w:val="CF7F429F"/>
    <w:rsid w:val="D2AD1DE2"/>
    <w:rsid w:val="DEFEB181"/>
    <w:rsid w:val="DFF3890E"/>
    <w:rsid w:val="DFFEDD30"/>
    <w:rsid w:val="DFFF9643"/>
    <w:rsid w:val="E9F98411"/>
    <w:rsid w:val="ED6E7487"/>
    <w:rsid w:val="F4F7B51E"/>
    <w:rsid w:val="F7FF9186"/>
    <w:rsid w:val="FB1D75AD"/>
    <w:rsid w:val="FB590701"/>
    <w:rsid w:val="FD3FE70A"/>
    <w:rsid w:val="FEDBC048"/>
    <w:rsid w:val="FFB75A71"/>
    <w:rsid w:val="FFFB6A5B"/>
    <w:rsid w:val="FFFF8F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line="600" w:lineRule="exact"/>
      <w:ind w:firstLine="880" w:firstLineChars="200"/>
    </w:pPr>
    <w:rPr>
      <w:rFonts w:eastAsia="仿宋_GB2312"/>
      <w:sz w:val="32"/>
    </w:rPr>
  </w:style>
  <w:style w:type="paragraph" w:styleId="3">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unhideWhenUsed/>
    <w:qFormat/>
    <w:uiPriority w:val="99"/>
    <w:rPr>
      <w:color w:val="0000FF"/>
      <w:u w:val="single"/>
    </w:rPr>
  </w:style>
  <w:style w:type="character" w:customStyle="1" w:styleId="10">
    <w:name w:val="font21"/>
    <w:basedOn w:val="8"/>
    <w:qFormat/>
    <w:uiPriority w:val="0"/>
    <w:rPr>
      <w:rFonts w:hint="eastAsia" w:ascii="方正小标宋简体" w:hAnsi="方正小标宋简体" w:eastAsia="方正小标宋简体" w:cs="方正小标宋简体"/>
      <w:color w:val="000000"/>
      <w:sz w:val="40"/>
      <w:szCs w:val="40"/>
      <w:u w:val="none"/>
    </w:rPr>
  </w:style>
  <w:style w:type="character" w:customStyle="1" w:styleId="11">
    <w:name w:val="font4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5994</Words>
  <Characters>6360</Characters>
  <Lines>0</Lines>
  <Paragraphs>0</Paragraphs>
  <TotalTime>0</TotalTime>
  <ScaleCrop>false</ScaleCrop>
  <LinksUpToDate>false</LinksUpToDate>
  <CharactersWithSpaces>6486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2024-07-25T14:50:00Z</dcterms:created>
  <dc:creator>user</dc:creator>
  <cp:lastModifiedBy>WPS_1570430090</cp:lastModifiedBy>
  <cp:lastPrinted>2024-07-25T14:51:42Z</cp:lastPrinted>
  <dcterms:modified xsi:type="dcterms:W3CDTF">2024-09-26T01:52:21Z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DB3B41994DD84EDD9928A3A093C4CCDA_13</vt:lpwstr>
  </property>
</Properties>
</file>