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46068">
      <w:pPr>
        <w:tabs>
          <w:tab w:val="left" w:pos="4980"/>
        </w:tabs>
        <w:spacing w:line="540" w:lineRule="exact"/>
        <w:rPr>
          <w:rFonts w:eastAsia="黑体"/>
          <w:color w:val="000000"/>
          <w:sz w:val="32"/>
          <w:szCs w:val="32"/>
        </w:rPr>
      </w:pPr>
      <w:r>
        <w:rPr>
          <w:rFonts w:eastAsia="黑体"/>
          <w:color w:val="000000"/>
          <w:sz w:val="32"/>
          <w:szCs w:val="32"/>
        </w:rPr>
        <w:t>附件3</w:t>
      </w:r>
    </w:p>
    <w:p w14:paraId="4CAD25C5">
      <w:pPr>
        <w:tabs>
          <w:tab w:val="left" w:pos="4980"/>
        </w:tabs>
        <w:spacing w:line="540" w:lineRule="exact"/>
        <w:rPr>
          <w:rFonts w:eastAsia="黑体"/>
          <w:color w:val="000000"/>
          <w:sz w:val="32"/>
          <w:szCs w:val="32"/>
        </w:rPr>
      </w:pPr>
    </w:p>
    <w:p w14:paraId="28158F2E">
      <w:pPr>
        <w:pStyle w:val="2"/>
        <w:spacing w:line="586" w:lineRule="exact"/>
        <w:jc w:val="center"/>
        <w:rPr>
          <w:rFonts w:ascii="Times New Roman" w:eastAsia="方正小标宋简体" w:cs="Times New Roman"/>
          <w:bCs/>
          <w:color w:val="000000"/>
          <w:sz w:val="44"/>
          <w:szCs w:val="44"/>
        </w:rPr>
      </w:pPr>
      <w:bookmarkStart w:id="0" w:name="_GoBack"/>
      <w:r>
        <w:rPr>
          <w:rFonts w:ascii="Times New Roman" w:eastAsia="方正小标宋简体" w:cs="Times New Roman"/>
          <w:bCs/>
          <w:color w:val="000000"/>
          <w:kern w:val="0"/>
          <w:sz w:val="44"/>
          <w:szCs w:val="44"/>
        </w:rPr>
        <w:t>2024年桂林市融媒体中心直接考核公开招聘高层次专业技术人员考核评分细则</w:t>
      </w:r>
      <w:bookmarkEnd w:id="0"/>
    </w:p>
    <w:p w14:paraId="6D57422F">
      <w:pPr>
        <w:spacing w:line="586" w:lineRule="exact"/>
        <w:ind w:firstLine="600" w:firstLineChars="200"/>
        <w:rPr>
          <w:rFonts w:eastAsia="仿宋"/>
          <w:color w:val="000000"/>
          <w:sz w:val="30"/>
          <w:szCs w:val="30"/>
        </w:rPr>
      </w:pPr>
    </w:p>
    <w:p w14:paraId="2F2E8183">
      <w:pPr>
        <w:pStyle w:val="2"/>
        <w:spacing w:line="58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桂林市融媒体中心2024年直接考核公开招聘高层次专业技术人员的考核标准采取量化考核评分。具体量化内容及评分标准如下：</w:t>
      </w:r>
    </w:p>
    <w:p w14:paraId="55B02F4A">
      <w:pPr>
        <w:numPr>
          <w:ilvl w:val="0"/>
          <w:numId w:val="1"/>
        </w:numPr>
        <w:spacing w:line="596" w:lineRule="exact"/>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专业技术职称分</w:t>
      </w:r>
    </w:p>
    <w:p w14:paraId="77E1A1A5">
      <w:pPr>
        <w:spacing w:line="596" w:lineRule="exact"/>
        <w:ind w:firstLine="640" w:firstLineChars="200"/>
        <w:rPr>
          <w:rFonts w:eastAsia="仿宋_GB2312"/>
          <w:bCs/>
          <w:color w:val="000000"/>
          <w:kern w:val="0"/>
          <w:sz w:val="32"/>
          <w:szCs w:val="32"/>
        </w:rPr>
      </w:pPr>
      <w:r>
        <w:rPr>
          <w:rFonts w:eastAsia="仿宋_GB2312"/>
          <w:bCs/>
          <w:color w:val="000000"/>
          <w:kern w:val="0"/>
          <w:sz w:val="32"/>
          <w:szCs w:val="32"/>
        </w:rPr>
        <w:t>广播电视工程专业的正高职称25分，副高职称20分。</w:t>
      </w:r>
    </w:p>
    <w:p w14:paraId="300AB298">
      <w:pPr>
        <w:spacing w:line="596" w:lineRule="exact"/>
        <w:ind w:firstLine="640" w:firstLineChars="200"/>
        <w:rPr>
          <w:rFonts w:eastAsia="仿宋_GB2312"/>
          <w:bCs/>
          <w:color w:val="000000"/>
          <w:kern w:val="0"/>
          <w:sz w:val="32"/>
          <w:szCs w:val="32"/>
        </w:rPr>
      </w:pPr>
      <w:r>
        <w:rPr>
          <w:rFonts w:eastAsia="仿宋_GB2312"/>
          <w:bCs/>
          <w:color w:val="000000"/>
          <w:kern w:val="0"/>
          <w:sz w:val="32"/>
          <w:szCs w:val="32"/>
        </w:rPr>
        <w:t>考察方式：查看职称证书原件。</w:t>
      </w:r>
    </w:p>
    <w:p w14:paraId="5370A30D">
      <w:pPr>
        <w:numPr>
          <w:ilvl w:val="0"/>
          <w:numId w:val="1"/>
        </w:numPr>
        <w:spacing w:line="596" w:lineRule="exact"/>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学历分</w:t>
      </w:r>
    </w:p>
    <w:p w14:paraId="5C1527CF">
      <w:pPr>
        <w:spacing w:line="59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博士研究生10分，硕士研究生8分，本科学历(含函授学历）6分，专科学历(含函授学历）5分。</w:t>
      </w:r>
    </w:p>
    <w:p w14:paraId="76B68C34">
      <w:pPr>
        <w:spacing w:line="59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考察方式：查看学历证书原件。</w:t>
      </w:r>
    </w:p>
    <w:p w14:paraId="7C0720B3">
      <w:pPr>
        <w:numPr>
          <w:ilvl w:val="0"/>
          <w:numId w:val="1"/>
        </w:numPr>
        <w:spacing w:line="596" w:lineRule="exact"/>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从事本专业工作年限分</w:t>
      </w:r>
    </w:p>
    <w:p w14:paraId="62B16707">
      <w:pPr>
        <w:spacing w:line="596" w:lineRule="exact"/>
        <w:ind w:firstLine="640" w:firstLineChars="200"/>
        <w:rPr>
          <w:rFonts w:eastAsia="仿宋_GB2312"/>
          <w:bCs/>
          <w:color w:val="000000"/>
          <w:kern w:val="0"/>
          <w:sz w:val="32"/>
          <w:szCs w:val="32"/>
        </w:rPr>
      </w:pPr>
      <w:r>
        <w:rPr>
          <w:rFonts w:eastAsia="仿宋_GB2312"/>
          <w:bCs/>
          <w:color w:val="000000"/>
          <w:kern w:val="0"/>
          <w:sz w:val="32"/>
          <w:szCs w:val="32"/>
        </w:rPr>
        <w:t>从事本专业工作年限，每年1分，从事专业工作时间不满六个月按半年计算得0.5分，满六个月不满一年按一年计算得1分。最多不超过10分。</w:t>
      </w:r>
    </w:p>
    <w:p w14:paraId="2CA89373">
      <w:pPr>
        <w:spacing w:line="596" w:lineRule="exact"/>
        <w:ind w:firstLine="640" w:firstLineChars="200"/>
        <w:rPr>
          <w:rFonts w:eastAsia="仿宋_GB2312"/>
          <w:bCs/>
          <w:color w:val="000000"/>
          <w:kern w:val="0"/>
          <w:sz w:val="32"/>
          <w:szCs w:val="32"/>
        </w:rPr>
      </w:pPr>
      <w:r>
        <w:rPr>
          <w:rFonts w:eastAsia="仿宋_GB2312"/>
          <w:bCs/>
          <w:color w:val="000000"/>
          <w:kern w:val="0"/>
          <w:sz w:val="32"/>
          <w:szCs w:val="32"/>
        </w:rPr>
        <w:t>考察方式：单位工作证明及单位缴交养老保险证明。</w:t>
      </w:r>
    </w:p>
    <w:p w14:paraId="47340746">
      <w:pPr>
        <w:spacing w:line="594" w:lineRule="exact"/>
        <w:ind w:firstLine="643" w:firstLineChars="200"/>
        <w:rPr>
          <w:rFonts w:eastAsia="仿宋_GB2312"/>
          <w:color w:val="000000"/>
          <w:kern w:val="0"/>
          <w:sz w:val="32"/>
          <w:szCs w:val="32"/>
        </w:rPr>
      </w:pPr>
      <w:r>
        <w:rPr>
          <w:rFonts w:hint="eastAsia" w:ascii="黑体" w:hAnsi="黑体" w:eastAsia="黑体" w:cs="黑体"/>
          <w:b/>
          <w:color w:val="000000"/>
          <w:kern w:val="0"/>
          <w:sz w:val="32"/>
          <w:szCs w:val="32"/>
        </w:rPr>
        <w:t>四、工作业绩分</w:t>
      </w:r>
      <w:r>
        <w:rPr>
          <w:rFonts w:eastAsia="仿宋_GB2312"/>
          <w:b/>
          <w:color w:val="000000"/>
          <w:kern w:val="0"/>
          <w:sz w:val="32"/>
          <w:szCs w:val="32"/>
        </w:rPr>
        <w:t>（</w:t>
      </w:r>
      <w:r>
        <w:rPr>
          <w:rFonts w:eastAsia="仿宋_GB2312"/>
          <w:bCs/>
          <w:color w:val="000000"/>
          <w:kern w:val="0"/>
          <w:sz w:val="32"/>
          <w:szCs w:val="32"/>
        </w:rPr>
        <w:t>累计总分值不超过50分）</w:t>
      </w:r>
    </w:p>
    <w:p w14:paraId="55E0DB40">
      <w:pPr>
        <w:spacing w:line="59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（一）省（部）级奖项：指以国家各部委及各省（自治区、直辖市）党委、政府、业界（行业）名义颁发的奖。每项一等奖（金奖）得10分；每项二等奖（银奖）得8分；每项三等奖（铜奖）得6分；</w:t>
      </w:r>
    </w:p>
    <w:p w14:paraId="404B9910">
      <w:pPr>
        <w:spacing w:line="596"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（二）市（厅）级奖项：指以各省（自治区、直辖市）政府所属部门及设区市党委、政府名义颁发的奖。每项一等奖（金奖）得6分；每项二等奖（银奖）得4分；每项三等奖（铜奖）得2分；</w:t>
      </w:r>
    </w:p>
    <w:p w14:paraId="2325CC06">
      <w:pPr>
        <w:spacing w:line="596"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以上两项内容不含企业、协会主办的比赛、评选、展演、展览等的奖项。</w:t>
      </w:r>
    </w:p>
    <w:p w14:paraId="21D16C1B">
      <w:pPr>
        <w:spacing w:line="596"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（三）核心期刊或专业期刊发表论文：在核心期刊（《电视研究》或《中国广播电视学刊》）上发表论文，每一篇得1</w:t>
      </w:r>
      <w:r>
        <w:rPr>
          <w:rFonts w:ascii="仿宋_GB2312" w:hAnsi="仿宋_GB2312" w:eastAsia="仿宋_GB2312" w:cs="仿宋_GB2312"/>
          <w:bCs/>
          <w:color w:val="000000"/>
          <w:kern w:val="0"/>
          <w:sz w:val="32"/>
          <w:szCs w:val="32"/>
        </w:rPr>
        <w:t>0分；在专业期刊（</w:t>
      </w:r>
      <w:r>
        <w:rPr>
          <w:rFonts w:hint="eastAsia" w:ascii="仿宋_GB2312" w:hAnsi="仿宋_GB2312" w:eastAsia="仿宋_GB2312" w:cs="仿宋_GB2312"/>
          <w:bCs/>
          <w:color w:val="000000"/>
          <w:kern w:val="0"/>
          <w:sz w:val="32"/>
          <w:szCs w:val="32"/>
        </w:rPr>
        <w:t>《中国传媒科技》、《中国科技博览》、《传播力研究》、《电子技术与软件工程》、《工程技术》、《西部广播电视》、《卫星电视与宽带多媒体》等）发表论文，每一篇得5分。</w:t>
      </w:r>
    </w:p>
    <w:p w14:paraId="483CFEC5">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考察方式：查看奖励证书（或批文等）原件、发表论文期刊原件。</w:t>
      </w:r>
    </w:p>
    <w:p w14:paraId="53CD18E4">
      <w:pPr>
        <w:pStyle w:val="5"/>
        <w:spacing w:before="0" w:beforeAutospacing="0" w:after="0" w:afterAutospacing="0" w:line="596" w:lineRule="exact"/>
        <w:ind w:firstLine="643" w:firstLineChars="200"/>
        <w:jc w:val="both"/>
        <w:rPr>
          <w:rFonts w:hint="eastAsia" w:ascii="Times New Roman" w:hAnsi="Times New Roman" w:eastAsia="仿宋_GB2312" w:cs="Times New Roman"/>
          <w:bCs/>
          <w:color w:val="000000"/>
          <w:sz w:val="32"/>
          <w:szCs w:val="32"/>
          <w:highlight w:val="yellow"/>
        </w:rPr>
      </w:pPr>
      <w:r>
        <w:rPr>
          <w:rFonts w:hint="eastAsia" w:ascii="黑体" w:hAnsi="黑体" w:eastAsia="黑体" w:cs="黑体"/>
          <w:b/>
          <w:color w:val="000000"/>
          <w:sz w:val="32"/>
          <w:szCs w:val="32"/>
        </w:rPr>
        <w:t>五、工</w:t>
      </w:r>
      <w:r>
        <w:rPr>
          <w:rFonts w:hint="eastAsia" w:ascii="黑体" w:hAnsi="黑体" w:eastAsia="黑体" w:cs="黑体"/>
          <w:b/>
          <w:bCs/>
          <w:color w:val="000000"/>
          <w:sz w:val="32"/>
          <w:szCs w:val="32"/>
        </w:rPr>
        <w:t>作</w:t>
      </w:r>
      <w:r>
        <w:rPr>
          <w:rFonts w:hint="eastAsia" w:ascii="黑体" w:hAnsi="黑体" w:eastAsia="黑体" w:cs="黑体"/>
          <w:b/>
          <w:color w:val="000000"/>
          <w:sz w:val="32"/>
          <w:szCs w:val="32"/>
        </w:rPr>
        <w:t>岗位分</w:t>
      </w:r>
      <w:r>
        <w:rPr>
          <w:rFonts w:hint="eastAsia" w:ascii="黑体" w:hAnsi="黑体" w:eastAsia="黑体" w:cs="黑体"/>
          <w:color w:val="000000"/>
          <w:sz w:val="32"/>
          <w:szCs w:val="32"/>
        </w:rPr>
        <w:t>：</w:t>
      </w:r>
      <w:r>
        <w:rPr>
          <w:rFonts w:ascii="Times New Roman" w:hAnsi="Times New Roman" w:eastAsia="仿宋_GB2312" w:cs="Times New Roman"/>
          <w:color w:val="000000"/>
          <w:sz w:val="32"/>
          <w:szCs w:val="32"/>
        </w:rPr>
        <w:t>在一线专业技术岗位（</w:t>
      </w:r>
      <w:r>
        <w:rPr>
          <w:rFonts w:hint="eastAsia" w:ascii="Times New Roman" w:hAnsi="Times New Roman" w:eastAsia="仿宋_GB2312" w:cs="Times New Roman"/>
          <w:color w:val="000000"/>
          <w:sz w:val="32"/>
          <w:szCs w:val="32"/>
        </w:rPr>
        <w:t>采编部门或技术部门相应岗位）</w:t>
      </w:r>
      <w:r>
        <w:rPr>
          <w:rFonts w:ascii="Times New Roman" w:hAnsi="Times New Roman" w:eastAsia="仿宋_GB2312" w:cs="Times New Roman"/>
          <w:color w:val="000000"/>
          <w:sz w:val="32"/>
          <w:szCs w:val="32"/>
        </w:rPr>
        <w:t>工作得</w:t>
      </w:r>
      <w:r>
        <w:rPr>
          <w:rFonts w:ascii="Times New Roman" w:hAnsi="Times New Roman" w:eastAsia="仿宋_GB2312" w:cs="Times New Roman"/>
          <w:bCs/>
          <w:color w:val="000000"/>
          <w:sz w:val="32"/>
          <w:szCs w:val="32"/>
        </w:rPr>
        <w:t>5</w:t>
      </w:r>
      <w:r>
        <w:rPr>
          <w:rFonts w:ascii="Times New Roman" w:hAnsi="Times New Roman" w:eastAsia="仿宋_GB2312" w:cs="Times New Roman"/>
          <w:color w:val="000000"/>
          <w:sz w:val="32"/>
          <w:szCs w:val="32"/>
        </w:rPr>
        <w:t>分，非一线专业技术岗位（后勤保障部门相应岗位）工作</w:t>
      </w:r>
      <w:r>
        <w:rPr>
          <w:rFonts w:ascii="Times New Roman" w:hAnsi="Times New Roman" w:eastAsia="仿宋_GB2312" w:cs="Times New Roman"/>
          <w:bCs/>
          <w:color w:val="000000"/>
          <w:sz w:val="32"/>
          <w:szCs w:val="32"/>
        </w:rPr>
        <w:t>3</w:t>
      </w:r>
      <w:r>
        <w:rPr>
          <w:rFonts w:ascii="Times New Roman" w:hAnsi="Times New Roman" w:eastAsia="仿宋_GB2312" w:cs="Times New Roman"/>
          <w:color w:val="000000"/>
          <w:sz w:val="32"/>
          <w:szCs w:val="32"/>
        </w:rPr>
        <w:t>分，其他岗位</w:t>
      </w:r>
      <w:r>
        <w:rPr>
          <w:rFonts w:ascii="Times New Roman" w:hAnsi="Times New Roman" w:eastAsia="仿宋_GB2312" w:cs="Times New Roman"/>
          <w:bCs/>
          <w:color w:val="000000"/>
          <w:sz w:val="32"/>
          <w:szCs w:val="32"/>
        </w:rPr>
        <w:t>2</w:t>
      </w:r>
      <w:r>
        <w:rPr>
          <w:rFonts w:ascii="Times New Roman" w:hAnsi="Times New Roman" w:eastAsia="仿宋_GB2312" w:cs="Times New Roman"/>
          <w:color w:val="000000"/>
          <w:sz w:val="32"/>
          <w:szCs w:val="32"/>
        </w:rPr>
        <w:t>分。</w:t>
      </w:r>
    </w:p>
    <w:p w14:paraId="14020A2C">
      <w:pPr>
        <w:ind w:firstLine="643" w:firstLineChars="200"/>
      </w:pPr>
      <w:r>
        <w:rPr>
          <w:rFonts w:hint="eastAsia" w:ascii="黑体" w:hAnsi="黑体" w:eastAsia="黑体" w:cs="黑体"/>
          <w:b/>
          <w:bCs/>
          <w:color w:val="000000"/>
          <w:sz w:val="32"/>
          <w:szCs w:val="32"/>
        </w:rPr>
        <w:t>六、</w:t>
      </w:r>
      <w:r>
        <w:rPr>
          <w:rFonts w:eastAsia="仿宋_GB2312"/>
          <w:color w:val="000000"/>
          <w:sz w:val="32"/>
          <w:szCs w:val="32"/>
        </w:rPr>
        <w:t>本次招聘量化评分考核细则，年限计算截止2024年</w:t>
      </w:r>
      <w:r>
        <w:rPr>
          <w:rFonts w:hint="eastAsia" w:eastAsia="仿宋_GB2312"/>
          <w:color w:val="000000"/>
          <w:sz w:val="32"/>
          <w:szCs w:val="32"/>
          <w:lang w:val="en-US" w:eastAsia="zh-CN"/>
        </w:rPr>
        <w:t>10</w:t>
      </w:r>
      <w:r>
        <w:rPr>
          <w:rFonts w:eastAsia="仿宋_GB2312"/>
          <w:color w:val="000000"/>
          <w:sz w:val="32"/>
          <w:szCs w:val="32"/>
        </w:rPr>
        <w:t>月</w:t>
      </w:r>
      <w:r>
        <w:rPr>
          <w:rFonts w:hint="eastAsia" w:eastAsia="仿宋_GB2312"/>
          <w:color w:val="000000"/>
          <w:sz w:val="32"/>
          <w:szCs w:val="32"/>
          <w:lang w:val="en-US" w:eastAsia="zh-CN"/>
        </w:rPr>
        <w:t>28</w:t>
      </w:r>
      <w:r>
        <w:rPr>
          <w:rFonts w:eastAsia="仿宋_GB2312"/>
          <w:color w:val="000000"/>
          <w:sz w:val="32"/>
          <w:szCs w:val="32"/>
        </w:rPr>
        <w:t>日</w:t>
      </w:r>
      <w:r>
        <w:rPr>
          <w:rFonts w:eastAsia="仿宋_GB2312"/>
          <w:b/>
          <w:bCs/>
          <w:color w:val="000000"/>
          <w:sz w:val="32"/>
          <w:szCs w:val="32"/>
        </w:rPr>
        <w:t>。</w:t>
      </w:r>
    </w:p>
    <w:sectPr>
      <w:pgSz w:w="11906" w:h="16838"/>
      <w:pgMar w:top="1020" w:right="1266" w:bottom="1118"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1E859"/>
    <w:multiLevelType w:val="singleLevel"/>
    <w:tmpl w:val="69C1E8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YmI0ODQ4YmQ1MDI3YzIxYmE0OWQ1OThjOThmMTcifQ=="/>
  </w:docVars>
  <w:rsids>
    <w:rsidRoot w:val="4A06758B"/>
    <w:rsid w:val="1D016AA2"/>
    <w:rsid w:val="4A06758B"/>
    <w:rsid w:val="6A19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Times New Roman" w:eastAsia="宋体" w:cs="Courier New"/>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2024-10-21T03:03:00Z</dcterms:created>
  <dc:creator>运营中心</dc:creator>
  <cp:lastModifiedBy>运营中心</cp:lastModifiedBy>
  <dcterms:modified xsi:type="dcterms:W3CDTF">2024-10-21T03:06:00Z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C8594DB3950E4252BC30E05ED7C0A721_13</vt:lpwstr>
  </property>
</Properties>
</file>