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>绍兴市上虞区医疗卫生单位院校招聘报名表</w:t>
      </w:r>
    </w:p>
    <w:tbl>
      <w:tblPr>
        <w:tblStyle w:val="12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温州医科大学校园招聘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9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6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3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2024年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right="424" w:rightChars="202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25届毕业生须提供身份证、就业协议书、就业推荐表、成绩单及其他报考职位所需的证件（证明）原件及复印件。研究生学历毕业生须提供毕业证书、就业协议书、执（专）业资格证书（或成绩单）和普通高校本科学历、学位证书原件及复印件。</w:t>
      </w: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</w:p>
    <w:p>
      <w:pPr>
        <w:ind w:right="424" w:rightChars="202"/>
        <w:rPr>
          <w:rFonts w:hint="eastAsia" w:ascii="黑体" w:hAnsi="黑体" w:eastAsia="黑体" w:cs="黑体"/>
          <w:b w:val="0"/>
          <w:bCs/>
          <w:color w:val="000000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10"/>
          <w:sz w:val="32"/>
          <w:szCs w:val="32"/>
        </w:rPr>
        <w:t>附件3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全国部分高校名单</w:t>
      </w:r>
    </w:p>
    <w:p>
      <w:pPr>
        <w:pStyle w:val="4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tbl>
      <w:tblPr>
        <w:tblStyle w:val="12"/>
        <w:tblW w:w="9396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76"/>
        <w:gridCol w:w="474"/>
        <w:gridCol w:w="1804"/>
        <w:gridCol w:w="427"/>
        <w:gridCol w:w="1709"/>
        <w:gridCol w:w="710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杭州师范大学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中国计量大学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ind w:right="424" w:rightChars="202"/>
        <w:rPr>
          <w:rFonts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  <w:t>附件4</w:t>
      </w:r>
      <w:bookmarkStart w:id="0" w:name="_GoBack"/>
      <w:bookmarkEnd w:id="0"/>
    </w:p>
    <w:p>
      <w:pPr>
        <w:pStyle w:val="6"/>
        <w:ind w:left="0" w:leftChars="0" w:firstLine="0" w:firstLineChars="0"/>
        <w:jc w:val="center"/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2024年度软科医药类大学排名前60名高校名单</w:t>
      </w:r>
    </w:p>
    <w:p>
      <w:pPr>
        <w:pStyle w:val="6"/>
        <w:rPr>
          <w:lang w:bidi="ar"/>
        </w:rPr>
      </w:pPr>
    </w:p>
    <w:tbl>
      <w:tblPr>
        <w:tblStyle w:val="12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14"/>
        <w:gridCol w:w="708"/>
        <w:gridCol w:w="2268"/>
        <w:gridCol w:w="7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北京协和医学院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广西医科大学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首都医科大学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山西医科大学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黑龙江中医药大学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南方医科大学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贵州医科大学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成都中医药大学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哈尔滨医科大学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山东第一医科大学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江西中医药大学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海南医科大学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沈阳药科大学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锦州医科大学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北京中医药大学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西南医科大学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长春中医药大学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重庆医科大学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宁夏医科大学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滨州医学院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桂林医学院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新疆医科大学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安徽中医药大学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湖南中医药大学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福建中医药大学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大连医科大学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河南中医药大学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河北医科大学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新乡医学院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沈阳医学院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昆明医科大学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杭州医学院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福建医科大学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辽宁中医药大学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陕西中医药大学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广州中医药大学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遵义医科大学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川北医学院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安徽医科大学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湖北医药学院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浙江中医药大学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内蒙古医科大学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皖南医学院</w:t>
            </w:r>
          </w:p>
        </w:tc>
      </w:tr>
    </w:tbl>
    <w:p>
      <w:pPr>
        <w:pStyle w:val="6"/>
        <w:rPr>
          <w:lang w:bidi="ar"/>
        </w:rPr>
      </w:pPr>
    </w:p>
    <w:p>
      <w:pPr>
        <w:spacing w:line="320" w:lineRule="exac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备注：高校排序根据软科2024年度医药类大学排名确定</w:t>
      </w:r>
    </w:p>
    <w:p>
      <w:pPr>
        <w:spacing w:line="320" w:lineRule="exact"/>
        <w:rPr>
          <w:rFonts w:ascii="仿宋_GB2312" w:hAnsi="仿宋_GB2312" w:eastAsia="仿宋_GB2312" w:cs="仿宋_GB2312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/>
    <w:p>
      <w:pPr>
        <w:pStyle w:val="2"/>
        <w:ind w:left="420"/>
      </w:pPr>
    </w:p>
    <w:p>
      <w:pPr>
        <w:pStyle w:val="2"/>
        <w:ind w:left="420"/>
      </w:pPr>
    </w:p>
    <w:p>
      <w:pPr>
        <w:ind w:right="424" w:rightChars="202"/>
        <w:rPr>
          <w:rFonts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3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3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等材料上传至“各类证书”栏目内。社保证明、承诺书、无法明确为哪一类材料的可上传至“其他材料”栏目内。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3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left="420"/>
      </w:pPr>
    </w:p>
    <w:p>
      <w:pPr>
        <w:pStyle w:val="2"/>
        <w:ind w:left="420"/>
      </w:pPr>
    </w:p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12A20"/>
    <w:rsid w:val="00001BAF"/>
    <w:rsid w:val="00011985"/>
    <w:rsid w:val="0002199A"/>
    <w:rsid w:val="00027012"/>
    <w:rsid w:val="000814C9"/>
    <w:rsid w:val="000958F7"/>
    <w:rsid w:val="000B6D53"/>
    <w:rsid w:val="000D7D4F"/>
    <w:rsid w:val="000E64F6"/>
    <w:rsid w:val="000F43AE"/>
    <w:rsid w:val="0014202C"/>
    <w:rsid w:val="00167376"/>
    <w:rsid w:val="001A620C"/>
    <w:rsid w:val="001C035B"/>
    <w:rsid w:val="001E6B05"/>
    <w:rsid w:val="001F26CE"/>
    <w:rsid w:val="00222E4F"/>
    <w:rsid w:val="00246ED7"/>
    <w:rsid w:val="002944BE"/>
    <w:rsid w:val="002D2337"/>
    <w:rsid w:val="002E740C"/>
    <w:rsid w:val="002F6E7F"/>
    <w:rsid w:val="002F7181"/>
    <w:rsid w:val="0033480E"/>
    <w:rsid w:val="00334E7C"/>
    <w:rsid w:val="00371522"/>
    <w:rsid w:val="003718A1"/>
    <w:rsid w:val="00375F30"/>
    <w:rsid w:val="00380343"/>
    <w:rsid w:val="003C27A3"/>
    <w:rsid w:val="003E7FB4"/>
    <w:rsid w:val="003F1632"/>
    <w:rsid w:val="00406194"/>
    <w:rsid w:val="004223CE"/>
    <w:rsid w:val="0044200D"/>
    <w:rsid w:val="00470601"/>
    <w:rsid w:val="00494649"/>
    <w:rsid w:val="004B5410"/>
    <w:rsid w:val="004C0D84"/>
    <w:rsid w:val="004E6843"/>
    <w:rsid w:val="00520511"/>
    <w:rsid w:val="0057711B"/>
    <w:rsid w:val="005A0A01"/>
    <w:rsid w:val="005B1963"/>
    <w:rsid w:val="005E0AC3"/>
    <w:rsid w:val="00612187"/>
    <w:rsid w:val="00626A4B"/>
    <w:rsid w:val="00671810"/>
    <w:rsid w:val="006825DB"/>
    <w:rsid w:val="006874A4"/>
    <w:rsid w:val="006A0EAD"/>
    <w:rsid w:val="006B25A8"/>
    <w:rsid w:val="006D6574"/>
    <w:rsid w:val="006E5859"/>
    <w:rsid w:val="006F0F76"/>
    <w:rsid w:val="00734057"/>
    <w:rsid w:val="00743768"/>
    <w:rsid w:val="00754F8B"/>
    <w:rsid w:val="00773B7D"/>
    <w:rsid w:val="00774C20"/>
    <w:rsid w:val="007D393A"/>
    <w:rsid w:val="0080130B"/>
    <w:rsid w:val="00816908"/>
    <w:rsid w:val="008267E0"/>
    <w:rsid w:val="00866281"/>
    <w:rsid w:val="008A4814"/>
    <w:rsid w:val="008D16BB"/>
    <w:rsid w:val="00913605"/>
    <w:rsid w:val="009245E7"/>
    <w:rsid w:val="00933FF6"/>
    <w:rsid w:val="009344C3"/>
    <w:rsid w:val="00945EFF"/>
    <w:rsid w:val="0095305E"/>
    <w:rsid w:val="00966690"/>
    <w:rsid w:val="009C0C90"/>
    <w:rsid w:val="009D14AF"/>
    <w:rsid w:val="009D2FD3"/>
    <w:rsid w:val="00AA66FC"/>
    <w:rsid w:val="00AB6B93"/>
    <w:rsid w:val="00AC4F26"/>
    <w:rsid w:val="00AC6341"/>
    <w:rsid w:val="00AD6D00"/>
    <w:rsid w:val="00B57A46"/>
    <w:rsid w:val="00BA1375"/>
    <w:rsid w:val="00BC7FF7"/>
    <w:rsid w:val="00C115C3"/>
    <w:rsid w:val="00C314B2"/>
    <w:rsid w:val="00C36824"/>
    <w:rsid w:val="00C74D5F"/>
    <w:rsid w:val="00C87CD1"/>
    <w:rsid w:val="00CA03AA"/>
    <w:rsid w:val="00CC14BD"/>
    <w:rsid w:val="00CD54DF"/>
    <w:rsid w:val="00D723A1"/>
    <w:rsid w:val="00D72788"/>
    <w:rsid w:val="00D73C89"/>
    <w:rsid w:val="00D749F9"/>
    <w:rsid w:val="00DE25AD"/>
    <w:rsid w:val="00E0578F"/>
    <w:rsid w:val="00E175CB"/>
    <w:rsid w:val="00E17777"/>
    <w:rsid w:val="00E21759"/>
    <w:rsid w:val="00E25BC8"/>
    <w:rsid w:val="00E50A67"/>
    <w:rsid w:val="00E741A8"/>
    <w:rsid w:val="00E772EC"/>
    <w:rsid w:val="00EE474B"/>
    <w:rsid w:val="00EE5574"/>
    <w:rsid w:val="00F0217F"/>
    <w:rsid w:val="00F21C63"/>
    <w:rsid w:val="00F31844"/>
    <w:rsid w:val="00F32EF7"/>
    <w:rsid w:val="00F36F96"/>
    <w:rsid w:val="00F525E1"/>
    <w:rsid w:val="00F75677"/>
    <w:rsid w:val="0101299F"/>
    <w:rsid w:val="01536B3C"/>
    <w:rsid w:val="03EB097D"/>
    <w:rsid w:val="04C13E58"/>
    <w:rsid w:val="05AF3AE1"/>
    <w:rsid w:val="0A983F6E"/>
    <w:rsid w:val="0BEE2322"/>
    <w:rsid w:val="0EA43B14"/>
    <w:rsid w:val="11953E67"/>
    <w:rsid w:val="1261329A"/>
    <w:rsid w:val="12A56222"/>
    <w:rsid w:val="13884297"/>
    <w:rsid w:val="15723F04"/>
    <w:rsid w:val="1812470B"/>
    <w:rsid w:val="189E1D70"/>
    <w:rsid w:val="19052A19"/>
    <w:rsid w:val="1A9E72B8"/>
    <w:rsid w:val="1AA41354"/>
    <w:rsid w:val="1D1D05D0"/>
    <w:rsid w:val="210F6994"/>
    <w:rsid w:val="214851A7"/>
    <w:rsid w:val="23356F51"/>
    <w:rsid w:val="245A4256"/>
    <w:rsid w:val="247578DE"/>
    <w:rsid w:val="257D488D"/>
    <w:rsid w:val="25C63D87"/>
    <w:rsid w:val="25E52FB7"/>
    <w:rsid w:val="2676612A"/>
    <w:rsid w:val="269840E0"/>
    <w:rsid w:val="274C7086"/>
    <w:rsid w:val="276B793B"/>
    <w:rsid w:val="29C40D94"/>
    <w:rsid w:val="29DB09B9"/>
    <w:rsid w:val="2B180364"/>
    <w:rsid w:val="2B645846"/>
    <w:rsid w:val="2EA77318"/>
    <w:rsid w:val="2F307202"/>
    <w:rsid w:val="2F552934"/>
    <w:rsid w:val="2F8E3D93"/>
    <w:rsid w:val="31797323"/>
    <w:rsid w:val="32FA3D24"/>
    <w:rsid w:val="33BE6FF0"/>
    <w:rsid w:val="34E31351"/>
    <w:rsid w:val="35C054BC"/>
    <w:rsid w:val="364E3E27"/>
    <w:rsid w:val="36C572E8"/>
    <w:rsid w:val="3A04204F"/>
    <w:rsid w:val="3A1918DE"/>
    <w:rsid w:val="3BFE407D"/>
    <w:rsid w:val="3C6D73A0"/>
    <w:rsid w:val="3C9E2009"/>
    <w:rsid w:val="3D595233"/>
    <w:rsid w:val="414508EB"/>
    <w:rsid w:val="42C60012"/>
    <w:rsid w:val="42DB23BC"/>
    <w:rsid w:val="43544604"/>
    <w:rsid w:val="43D654F6"/>
    <w:rsid w:val="44C06D59"/>
    <w:rsid w:val="451A3F70"/>
    <w:rsid w:val="46295027"/>
    <w:rsid w:val="48970623"/>
    <w:rsid w:val="4A8F7F6C"/>
    <w:rsid w:val="4BE85283"/>
    <w:rsid w:val="4D5A74CD"/>
    <w:rsid w:val="4DDE4611"/>
    <w:rsid w:val="4ECF74D9"/>
    <w:rsid w:val="4F905399"/>
    <w:rsid w:val="53005FBA"/>
    <w:rsid w:val="54840334"/>
    <w:rsid w:val="55DA66E7"/>
    <w:rsid w:val="5B27402B"/>
    <w:rsid w:val="5BA913F1"/>
    <w:rsid w:val="5C2B592A"/>
    <w:rsid w:val="5E0626F5"/>
    <w:rsid w:val="5FBE03FA"/>
    <w:rsid w:val="62B405FF"/>
    <w:rsid w:val="67E1027C"/>
    <w:rsid w:val="6839090B"/>
    <w:rsid w:val="6A8D335E"/>
    <w:rsid w:val="6A9E6E7B"/>
    <w:rsid w:val="6AED777A"/>
    <w:rsid w:val="6BD46EF8"/>
    <w:rsid w:val="6C2948E8"/>
    <w:rsid w:val="6CCE455B"/>
    <w:rsid w:val="6DA51372"/>
    <w:rsid w:val="6E6A23B4"/>
    <w:rsid w:val="6FCC3FA2"/>
    <w:rsid w:val="7086142A"/>
    <w:rsid w:val="732C337A"/>
    <w:rsid w:val="749C18DF"/>
    <w:rsid w:val="763D100B"/>
    <w:rsid w:val="774E68CA"/>
    <w:rsid w:val="77812A20"/>
    <w:rsid w:val="784A7A67"/>
    <w:rsid w:val="791871BB"/>
    <w:rsid w:val="7A101033"/>
    <w:rsid w:val="7BBA7738"/>
    <w:rsid w:val="7CB763AC"/>
    <w:rsid w:val="7E595AD8"/>
    <w:rsid w:val="7FE52CBC"/>
    <w:rsid w:val="9F7FE612"/>
    <w:rsid w:val="FF7E8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 w:cs="Times New Roman"/>
      <w:szCs w:val="22"/>
    </w:rPr>
  </w:style>
  <w:style w:type="paragraph" w:styleId="6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99"/>
    <w:rPr>
      <w:b/>
      <w:bCs/>
    </w:rPr>
  </w:style>
  <w:style w:type="character" w:styleId="15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9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20">
    <w:name w:val="日期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1">
    <w:name w:val="Char2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22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1133</Words>
  <Characters>6463</Characters>
  <Lines>53</Lines>
  <Paragraphs>15</Paragraphs>
  <TotalTime>147</TotalTime>
  <ScaleCrop>false</ScaleCrop>
  <LinksUpToDate>false</LinksUpToDate>
  <CharactersWithSpaces>7581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2024-10-15T23:51:00Z</dcterms:created>
  <dc:creator>Administrator</dc:creator>
  <cp:lastModifiedBy>wjj</cp:lastModifiedBy>
  <cp:lastPrinted>2024-10-15T23:52:00Z</cp:lastPrinted>
  <dcterms:modified xsi:type="dcterms:W3CDTF">2024-10-28T14:43:14Z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1A92A22C9BFC4C1799144583CD63742C</vt:lpwstr>
  </property>
</Properties>
</file>