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E353CC">
      <w:pPr>
        <w:pStyle w:val="4"/>
        <w:keepNext w:val="0"/>
        <w:keepLines w:val="0"/>
        <w:pageBreakBefore w:val="0"/>
        <w:numPr>
          <w:ilvl w:val="0"/>
          <w:numId w:val="0"/>
        </w:numPr>
        <w:kinsoku/>
        <w:wordWrap/>
        <w:overflowPunct/>
        <w:topLinePunct w:val="0"/>
        <w:autoSpaceDE/>
        <w:autoSpaceDN/>
        <w:bidi w:val="0"/>
        <w:spacing w:line="579" w:lineRule="exact"/>
        <w:jc w:val="center"/>
        <w:rPr>
          <w:rFonts w:hint="eastAsia" w:ascii="方正小标宋简体" w:hAnsi="方正小标宋简体" w:eastAsia="方正小标宋简体" w:cs="方正小标宋简体"/>
          <w:b/>
          <w:bCs/>
          <w:sz w:val="44"/>
          <w:szCs w:val="44"/>
          <w:highlight w:val="none"/>
          <w:lang w:val="en-US" w:eastAsia="zh-CN" w:bidi="ar-SA"/>
        </w:rPr>
      </w:pPr>
      <w:r>
        <w:rPr>
          <w:rFonts w:hint="eastAsia" w:ascii="方正小标宋简体" w:hAnsi="方正小标宋简体" w:eastAsia="方正小标宋简体" w:cs="方正小标宋简体"/>
          <w:b/>
          <w:bCs/>
          <w:color w:val="auto"/>
          <w:sz w:val="44"/>
          <w:szCs w:val="44"/>
        </w:rPr>
        <w:t>珠海市妇幼保健院（珠海市妇女儿童医院）</w:t>
      </w:r>
      <w:r>
        <w:rPr>
          <w:rFonts w:hint="eastAsia" w:ascii="方正小标宋简体" w:hAnsi="方正小标宋简体" w:eastAsia="方正小标宋简体" w:cs="方正小标宋简体"/>
          <w:b/>
          <w:bCs/>
          <w:sz w:val="44"/>
          <w:szCs w:val="44"/>
          <w:highlight w:val="none"/>
          <w:lang w:val="en-US" w:eastAsia="zh-CN" w:bidi="ar-SA"/>
        </w:rPr>
        <w:t>医院简介</w:t>
      </w:r>
    </w:p>
    <w:p w14:paraId="35095F61">
      <w:pPr>
        <w:pStyle w:val="4"/>
        <w:keepNext w:val="0"/>
        <w:keepLines w:val="0"/>
        <w:pageBreakBefore w:val="0"/>
        <w:numPr>
          <w:ilvl w:val="0"/>
          <w:numId w:val="0"/>
        </w:numPr>
        <w:kinsoku/>
        <w:wordWrap/>
        <w:overflowPunct/>
        <w:topLinePunct w:val="0"/>
        <w:autoSpaceDE/>
        <w:autoSpaceDN/>
        <w:bidi w:val="0"/>
        <w:spacing w:line="579" w:lineRule="exact"/>
        <w:jc w:val="center"/>
        <w:rPr>
          <w:rFonts w:hint="eastAsia" w:ascii="方正小标宋简体" w:hAnsi="方正小标宋简体" w:eastAsia="方正小标宋简体" w:cs="方正小标宋简体"/>
          <w:b/>
          <w:bCs/>
          <w:sz w:val="44"/>
          <w:szCs w:val="44"/>
          <w:highlight w:val="none"/>
          <w:lang w:val="en-US" w:eastAsia="zh-CN" w:bidi="ar-SA"/>
        </w:rPr>
      </w:pPr>
    </w:p>
    <w:p w14:paraId="266E14F1">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珠海市妇幼保健院、华南理工大学附属珠海妇儿医院始建于1954年。1993年，获世界卫生组织和联合国儿童基金会授予“爱婴医院”。1997年，成为全国首批地市级“三级甲等”妇幼保健机构。2021年，以优异成绩通过三级甲等妇幼保健院复评审。在2021年、2022年全省三级妇幼保健机构绩效考核中分获第二名、第四名的佳绩。在2022年获批设立广东省博士工作站。2023年5月，成为华南理工大学附属珠海妇儿医院。</w:t>
      </w:r>
    </w:p>
    <w:p w14:paraId="7834D99E">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医院秉承“审慎、进取、专注、仁爱”的办院理念，现已发展成为一家功能完善、设施齐全、技术先进、服务规范、特色鲜明的集医疗、预防保健、科研、教学为一体的三级甲等妇幼保健机构，承担全市及周边地区妇女儿童各类疾病诊治和危重疾病救治工作及全市妇幼保健业务技术指导工作。未来，医院将依托粤港澳大湾区经济社会发展大局，实施管理、人才、创新、学科四大强院战略，推动医院各项事业高质量发展，力争建设成为高水平区域妇女儿童医疗保健中心。</w:t>
      </w:r>
    </w:p>
    <w:p w14:paraId="5DA7AB6B">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医院目前拥有南琴和柠溪两个院区，全院占地面积7.6万平方米，建筑面积17.6万平方米，编制床位1200张。现有在职职工1750人，卫生专业技术人员</w:t>
      </w:r>
      <w:r>
        <w:rPr>
          <w:rFonts w:hint="eastAsia" w:ascii="华文仿宋" w:hAnsi="华文仿宋" w:eastAsia="华文仿宋" w:cs="华文仿宋"/>
          <w:color w:val="auto"/>
          <w:sz w:val="32"/>
          <w:szCs w:val="32"/>
          <w:lang w:val="en-US" w:eastAsia="zh-CN"/>
        </w:rPr>
        <w:t>1480</w:t>
      </w:r>
      <w:r>
        <w:rPr>
          <w:rFonts w:hint="eastAsia" w:ascii="华文仿宋" w:hAnsi="华文仿宋" w:eastAsia="华文仿宋" w:cs="华文仿宋"/>
          <w:color w:val="auto"/>
          <w:sz w:val="32"/>
          <w:szCs w:val="32"/>
        </w:rPr>
        <w:t>人。</w:t>
      </w:r>
      <w:r>
        <w:rPr>
          <w:rFonts w:hint="eastAsia" w:ascii="华文仿宋" w:hAnsi="华文仿宋" w:eastAsia="华文仿宋" w:cs="华文仿宋"/>
          <w:color w:val="auto"/>
          <w:sz w:val="32"/>
          <w:szCs w:val="32"/>
          <w:lang w:eastAsia="zh-CN"/>
        </w:rPr>
        <w:t>截至</w:t>
      </w:r>
      <w:r>
        <w:rPr>
          <w:rFonts w:hint="eastAsia" w:ascii="华文仿宋" w:hAnsi="华文仿宋" w:eastAsia="华文仿宋" w:cs="华文仿宋"/>
          <w:color w:val="auto"/>
          <w:sz w:val="32"/>
          <w:szCs w:val="32"/>
        </w:rPr>
        <w:t>202</w:t>
      </w:r>
      <w:r>
        <w:rPr>
          <w:rFonts w:hint="eastAsia" w:ascii="华文仿宋" w:hAnsi="华文仿宋" w:eastAsia="华文仿宋" w:cs="华文仿宋"/>
          <w:color w:val="auto"/>
          <w:sz w:val="32"/>
          <w:szCs w:val="32"/>
          <w:lang w:val="en-US" w:eastAsia="zh-CN"/>
        </w:rPr>
        <w:t>4</w:t>
      </w:r>
      <w:r>
        <w:rPr>
          <w:rFonts w:hint="eastAsia" w:ascii="华文仿宋" w:hAnsi="华文仿宋" w:eastAsia="华文仿宋" w:cs="华文仿宋"/>
          <w:color w:val="auto"/>
          <w:sz w:val="32"/>
          <w:szCs w:val="32"/>
        </w:rPr>
        <w:t>年</w:t>
      </w:r>
      <w:r>
        <w:rPr>
          <w:rFonts w:hint="eastAsia" w:ascii="华文仿宋" w:hAnsi="华文仿宋" w:eastAsia="华文仿宋" w:cs="华文仿宋"/>
          <w:color w:val="auto"/>
          <w:sz w:val="32"/>
          <w:szCs w:val="32"/>
          <w:lang w:val="en-US" w:eastAsia="zh-CN"/>
        </w:rPr>
        <w:t>11月</w:t>
      </w:r>
      <w:r>
        <w:rPr>
          <w:rFonts w:hint="eastAsia" w:ascii="华文仿宋" w:hAnsi="华文仿宋" w:eastAsia="华文仿宋" w:cs="华文仿宋"/>
          <w:color w:val="auto"/>
          <w:sz w:val="32"/>
          <w:szCs w:val="32"/>
        </w:rPr>
        <w:t>，</w:t>
      </w:r>
      <w:r>
        <w:rPr>
          <w:rFonts w:hint="eastAsia" w:ascii="华文仿宋" w:hAnsi="华文仿宋" w:eastAsia="华文仿宋" w:cs="华文仿宋"/>
          <w:color w:val="auto"/>
          <w:sz w:val="32"/>
          <w:szCs w:val="32"/>
          <w:lang w:eastAsia="zh-CN"/>
        </w:rPr>
        <w:t>门急</w:t>
      </w:r>
      <w:r>
        <w:rPr>
          <w:rFonts w:hint="eastAsia" w:ascii="华文仿宋" w:hAnsi="华文仿宋" w:eastAsia="华文仿宋" w:cs="华文仿宋"/>
          <w:color w:val="auto"/>
          <w:sz w:val="32"/>
          <w:szCs w:val="32"/>
        </w:rPr>
        <w:t>诊量约</w:t>
      </w:r>
      <w:r>
        <w:rPr>
          <w:rFonts w:hint="eastAsia" w:ascii="华文仿宋" w:hAnsi="华文仿宋" w:eastAsia="华文仿宋" w:cs="华文仿宋"/>
          <w:color w:val="auto"/>
          <w:sz w:val="32"/>
          <w:szCs w:val="32"/>
          <w:lang w:val="en-US" w:eastAsia="zh-CN"/>
        </w:rPr>
        <w:t>140</w:t>
      </w:r>
      <w:r>
        <w:rPr>
          <w:rFonts w:hint="eastAsia" w:ascii="华文仿宋" w:hAnsi="华文仿宋" w:eastAsia="华文仿宋" w:cs="华文仿宋"/>
          <w:color w:val="auto"/>
          <w:sz w:val="32"/>
          <w:szCs w:val="32"/>
        </w:rPr>
        <w:t>万人次，出院量约4</w:t>
      </w:r>
      <w:r>
        <w:rPr>
          <w:rFonts w:hint="eastAsia" w:ascii="华文仿宋" w:hAnsi="华文仿宋" w:eastAsia="华文仿宋" w:cs="华文仿宋"/>
          <w:color w:val="auto"/>
          <w:sz w:val="32"/>
          <w:szCs w:val="32"/>
          <w:lang w:val="en-US" w:eastAsia="zh-CN"/>
        </w:rPr>
        <w:t>.4</w:t>
      </w:r>
      <w:r>
        <w:rPr>
          <w:rFonts w:hint="eastAsia" w:ascii="华文仿宋" w:hAnsi="华文仿宋" w:eastAsia="华文仿宋" w:cs="华文仿宋"/>
          <w:color w:val="auto"/>
          <w:sz w:val="32"/>
          <w:szCs w:val="32"/>
        </w:rPr>
        <w:t>万人次，年分娩量</w:t>
      </w:r>
      <w:r>
        <w:rPr>
          <w:rFonts w:hint="eastAsia" w:ascii="华文仿宋" w:hAnsi="华文仿宋" w:eastAsia="华文仿宋" w:cs="华文仿宋"/>
          <w:color w:val="auto"/>
          <w:sz w:val="32"/>
          <w:szCs w:val="32"/>
          <w:lang w:eastAsia="zh-CN"/>
        </w:rPr>
        <w:t>超过</w:t>
      </w:r>
      <w:r>
        <w:rPr>
          <w:rFonts w:hint="eastAsia" w:ascii="华文仿宋" w:hAnsi="华文仿宋" w:eastAsia="华文仿宋" w:cs="华文仿宋"/>
          <w:color w:val="auto"/>
          <w:sz w:val="32"/>
          <w:szCs w:val="32"/>
          <w:lang w:val="en-US" w:eastAsia="zh-CN"/>
        </w:rPr>
        <w:t>1万</w:t>
      </w:r>
      <w:r>
        <w:rPr>
          <w:rFonts w:hint="eastAsia" w:ascii="华文仿宋" w:hAnsi="华文仿宋" w:eastAsia="华文仿宋" w:cs="华文仿宋"/>
          <w:color w:val="auto"/>
          <w:sz w:val="32"/>
          <w:szCs w:val="32"/>
        </w:rPr>
        <w:t>，约占全市分娩量的</w:t>
      </w:r>
      <w:r>
        <w:rPr>
          <w:rFonts w:hint="eastAsia" w:ascii="华文仿宋" w:hAnsi="华文仿宋" w:eastAsia="华文仿宋" w:cs="华文仿宋"/>
          <w:color w:val="auto"/>
          <w:sz w:val="32"/>
          <w:szCs w:val="32"/>
          <w:lang w:val="en-US" w:eastAsia="zh-CN"/>
        </w:rPr>
        <w:t>42</w:t>
      </w:r>
      <w:r>
        <w:rPr>
          <w:rFonts w:hint="eastAsia" w:ascii="华文仿宋" w:hAnsi="华文仿宋" w:eastAsia="华文仿宋" w:cs="华文仿宋"/>
          <w:color w:val="auto"/>
          <w:sz w:val="32"/>
          <w:szCs w:val="32"/>
        </w:rPr>
        <w:t>%，居珠海之首。</w:t>
      </w:r>
    </w:p>
    <w:p w14:paraId="396D7527">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hint="eastAsia" w:ascii="华文仿宋" w:hAnsi="华文仿宋" w:eastAsia="华文仿宋" w:cs="华文仿宋"/>
          <w:color w:val="auto"/>
          <w:sz w:val="32"/>
          <w:szCs w:val="32"/>
        </w:rPr>
      </w:pPr>
      <w:r>
        <w:rPr>
          <w:rFonts w:hint="eastAsia" w:ascii="华文仿宋" w:hAnsi="华文仿宋" w:eastAsia="华文仿宋" w:cs="华文仿宋"/>
          <w:color w:val="auto"/>
          <w:sz w:val="32"/>
          <w:szCs w:val="32"/>
        </w:rPr>
        <w:t>医院秉承“海润生命，呵护备至”的服务理念，践行“审慎、进取、专注、仁爱”的院训，坚持以“妇女儿童健康为中心”，设置孕产保健部、妇女保健部、儿童保健部、生殖保健部、中医药保健部五大业务部。医院拥有珠海市危重症孕产妇、新生儿救治中心以及珠海市产前诊断中心等9个市级医学中心，拥有产科、新生儿科、儿科、生殖医学等7个市级质量控制中心，拥有3个省级妇幼保健特色专科，3个市级甲等临床重点专科，是省级产科、儿科临床重点专科建设单位。</w:t>
      </w:r>
    </w:p>
    <w:p w14:paraId="610EFBD9">
      <w:pPr>
        <w:keepNext w:val="0"/>
        <w:keepLines w:val="0"/>
        <w:pageBreakBefore w:val="0"/>
        <w:widowControl w:val="0"/>
        <w:kinsoku/>
        <w:wordWrap/>
        <w:overflowPunct/>
        <w:topLinePunct w:val="0"/>
        <w:autoSpaceDE/>
        <w:autoSpaceDN/>
        <w:bidi w:val="0"/>
        <w:adjustRightInd/>
        <w:snapToGrid/>
        <w:spacing w:line="579" w:lineRule="exact"/>
        <w:textAlignment w:val="auto"/>
        <w:rPr>
          <w:rFonts w:hint="eastAsia" w:ascii="宋体" w:hAnsi="宋体" w:eastAsia="宋体" w:cs="宋体"/>
          <w:color w:val="auto"/>
          <w:sz w:val="28"/>
          <w:szCs w:val="28"/>
        </w:rPr>
      </w:pP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00000001" w:usb1="08000000" w:usb2="00000000" w:usb3="00000000" w:csb0="00040000" w:csb1="00000000"/>
    <w:embedRegular r:id="rId1" w:fontKey="{84705567-2570-44B3-B095-BA5512FAF298}"/>
  </w:font>
  <w:font w:name="华文仿宋">
    <w:panose1 w:val="02010600040101010101"/>
    <w:charset w:val="86"/>
    <w:family w:val="auto"/>
    <w:pitch w:val="default"/>
    <w:sig w:usb0="00000287" w:usb1="080F0000" w:usb2="00000000" w:usb3="00000000" w:csb0="0004009F" w:csb1="DFD70000"/>
    <w:embedRegular r:id="rId2" w:fontKey="{992B95BE-C590-439E-B617-0E61D07AD7A7}"/>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4NmVmY2E0MmUwNjBjZmU3NzU1YjhkNWZlZmEwNTMifQ=="/>
  </w:docVars>
  <w:rsids>
    <w:rsidRoot w:val="00000000"/>
    <w:rsid w:val="00E84CD2"/>
    <w:rsid w:val="28A63839"/>
    <w:rsid w:val="4274492C"/>
    <w:rsid w:val="7A0D418F"/>
    <w:rsid w:val="7F6ED2C3"/>
    <w:rsid w:val="7FC06DB4"/>
    <w:rsid w:val="FF6FFBD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Style w:val="2"/>
      <w:tblCellMar>
        <w:top w:w="0" w:type="dxa"/>
        <w:left w:w="108" w:type="dxa"/>
        <w:bottom w:w="0" w:type="dxa"/>
        <w:right w:w="108" w:type="dxa"/>
      </w:tblCellMar>
    </w:tblPr>
  </w:style>
  <w:style w:type="paragraph" w:customStyle="1" w:styleId="4">
    <w:name w:val="样式1"/>
    <w:basedOn w:val="5"/>
    <w:qFormat/>
    <w:uiPriority w:val="0"/>
    <w:pPr>
      <w:spacing w:line="579" w:lineRule="exact"/>
      <w:ind w:firstLine="640" w:firstLineChars="200"/>
    </w:pPr>
    <w:rPr>
      <w:rFonts w:ascii="Calibri" w:hAnsi="Calibri" w:eastAsia="仿宋_GB2312" w:cs="Times New Roman"/>
    </w:rPr>
  </w:style>
  <w:style w:type="paragraph" w:customStyle="1" w:styleId="5">
    <w:name w:val="正文1"/>
    <w:basedOn w:val="1"/>
    <w:qFormat/>
    <w:uiPriority w:val="0"/>
    <w:pPr>
      <w:ind w:firstLine="708" w:firstLineChars="236"/>
    </w:pPr>
    <w:rPr>
      <w:rFonts w:ascii="仿宋_GB2312" w:hAnsi="Calibri" w:eastAsia="仿宋_GB2312" w:cs="仿宋_GB2312"/>
      <w:sz w:val="30"/>
      <w:szCs w:val="3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728</Words>
  <Characters>776</Characters>
  <Lines>0</Lines>
  <Paragraphs>0</Paragraphs>
  <TotalTime>24.3333333333333</TotalTime>
  <ScaleCrop>false</ScaleCrop>
  <LinksUpToDate>false</LinksUpToDate>
  <CharactersWithSpaces>776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2023-10-27T05:21:31Z</dcterms:created>
  <dc:creator>Administrator</dc:creator>
  <cp:lastModifiedBy>第三本书</cp:lastModifiedBy>
  <dcterms:modified xsi:type="dcterms:W3CDTF">2024-12-12T10:48:40Z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A09F4A5073B147BEA10AB1589C8BCFF0_13</vt:lpwstr>
  </property>
</Properties>
</file>