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C6F24">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732E4B37">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07543325">
      <w:pPr>
        <w:spacing w:line="500" w:lineRule="exact"/>
        <w:ind w:firstLine="560" w:firstLineChars="200"/>
        <w:rPr>
          <w:rFonts w:hint="eastAsia" w:ascii="黑体" w:hAnsi="黑体" w:eastAsia="黑体" w:cs="黑体"/>
          <w:sz w:val="28"/>
          <w:szCs w:val="28"/>
        </w:rPr>
      </w:pPr>
    </w:p>
    <w:p w14:paraId="23B8C86A">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1664BB5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03E3CAB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80B2F2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338E865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6086D24E">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3AFF565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4C7318D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6826882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56F03E7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04A33DA4">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50BB0F5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71DE120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0CED42CA">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17FC0D87">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62E74870">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28A284B7">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4921453B">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13A5A258">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0C09927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1BC9571D">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1FD0D4F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6DA169D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6028E3A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130017C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w:t>
      </w:r>
    </w:p>
    <w:p w14:paraId="58B23A5A">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5.选调工作属于组织行为，需</w:t>
      </w:r>
      <w:r>
        <w:rPr>
          <w:rFonts w:ascii="仿宋_GB2312" w:hAnsi="仿宋_GB2312" w:eastAsia="仿宋_GB2312" w:cs="仿宋_GB2312"/>
          <w:sz w:val="28"/>
          <w:szCs w:val="28"/>
        </w:rPr>
        <w:t>提前征得</w:t>
      </w:r>
      <w:r>
        <w:rPr>
          <w:rFonts w:hint="eastAsia" w:ascii="仿宋_GB2312" w:hAnsi="仿宋_GB2312" w:eastAsia="仿宋_GB2312" w:cs="仿宋_GB2312"/>
          <w:sz w:val="28"/>
          <w:szCs w:val="28"/>
        </w:rPr>
        <w:t>得有干部管理权限的主管部门或用人单位同意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资格复审时提交，特殊情况下</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单位同意可</w:t>
      </w:r>
      <w:r>
        <w:rPr>
          <w:rFonts w:hint="eastAsia" w:ascii="仿宋_GB2312" w:hAnsi="仿宋_GB2312" w:eastAsia="仿宋_GB2312" w:cs="仿宋_GB2312"/>
          <w:sz w:val="28"/>
          <w:szCs w:val="28"/>
        </w:rPr>
        <w:t>不得晚于面试结束后5个工作日内提交。</w:t>
      </w:r>
    </w:p>
    <w:p w14:paraId="29D740E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621299C4">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62029F3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4F608B4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62799B64">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七、其他</w:t>
      </w:r>
    </w:p>
    <w:p w14:paraId="45B562E0">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p w14:paraId="60E04CEE">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B51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4B995">
                          <w:pPr>
                            <w:pStyle w:val="3"/>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D84B995">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78C2E38"/>
    <w:rsid w:val="378C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2025-05-16T05:02:00Z</dcterms:created>
  <dc:creator>晨昏线</dc:creator>
  <cp:lastModifiedBy>晨昏线</cp:lastModifiedBy>
  <dcterms:modified xsi:type="dcterms:W3CDTF">2025-05-16T05:02:41Z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9D35AB5E281D452D9FAA66EF21F5C047_11</vt:lpwstr>
  </property>
</Properties>
</file>