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35FA2">
      <w:pPr>
        <w:spacing w:line="520" w:lineRule="exact"/>
        <w:rPr>
          <w:rFonts w:hint="eastAsia" w:ascii="黑体" w:hAnsi="黑体" w:eastAsia="黑体" w:cs="黑体"/>
          <w:spacing w:val="-6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pacing w:val="-6"/>
          <w:sz w:val="28"/>
          <w:szCs w:val="28"/>
          <w:lang w:val="en-US" w:eastAsia="zh-CN"/>
        </w:rPr>
        <w:t>附件1</w:t>
      </w:r>
    </w:p>
    <w:p w14:paraId="4E6C73E9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四川天府新区党工委管委会工作机构所属事业单位2025年公开选调工作人员</w:t>
      </w:r>
    </w:p>
    <w:p w14:paraId="1652D2C5"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选调单位基本情况表</w:t>
      </w:r>
    </w:p>
    <w:p w14:paraId="2D351C95"/>
    <w:tbl>
      <w:tblPr>
        <w:tblStyle w:val="5"/>
        <w:tblW w:w="135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96"/>
        <w:gridCol w:w="1515"/>
        <w:gridCol w:w="2010"/>
        <w:gridCol w:w="7145"/>
      </w:tblGrid>
      <w:tr w14:paraId="2EDBF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2896" w:type="dxa"/>
            <w:noWrap w:val="0"/>
            <w:vAlign w:val="center"/>
          </w:tcPr>
          <w:p w14:paraId="1B1FD304">
            <w:pPr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>单位名称</w:t>
            </w:r>
          </w:p>
        </w:tc>
        <w:tc>
          <w:tcPr>
            <w:tcW w:w="1515" w:type="dxa"/>
            <w:noWrap w:val="0"/>
            <w:vAlign w:val="center"/>
          </w:tcPr>
          <w:p w14:paraId="2636D73A">
            <w:pPr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>单位类别</w:t>
            </w:r>
          </w:p>
        </w:tc>
        <w:tc>
          <w:tcPr>
            <w:tcW w:w="2010" w:type="dxa"/>
            <w:noWrap w:val="0"/>
            <w:vAlign w:val="center"/>
          </w:tcPr>
          <w:p w14:paraId="240028DC">
            <w:pPr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>单位地址</w:t>
            </w:r>
          </w:p>
        </w:tc>
        <w:tc>
          <w:tcPr>
            <w:tcW w:w="7145" w:type="dxa"/>
            <w:noWrap w:val="0"/>
            <w:vAlign w:val="center"/>
          </w:tcPr>
          <w:p w14:paraId="698C46FA">
            <w:pPr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>主要职能</w:t>
            </w:r>
          </w:p>
        </w:tc>
      </w:tr>
      <w:tr w14:paraId="56335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896" w:type="dxa"/>
            <w:noWrap w:val="0"/>
            <w:vAlign w:val="center"/>
          </w:tcPr>
          <w:p w14:paraId="060DC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四川天府新区审计中心</w:t>
            </w:r>
          </w:p>
        </w:tc>
        <w:tc>
          <w:tcPr>
            <w:tcW w:w="1515" w:type="dxa"/>
            <w:noWrap w:val="0"/>
            <w:vAlign w:val="center"/>
          </w:tcPr>
          <w:p w14:paraId="4EB72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公益一类</w:t>
            </w:r>
          </w:p>
        </w:tc>
        <w:tc>
          <w:tcPr>
            <w:tcW w:w="2010" w:type="dxa"/>
            <w:noWrap w:val="0"/>
            <w:vAlign w:val="center"/>
          </w:tcPr>
          <w:p w14:paraId="5A776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四川天府新区天府大道南段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288号</w:t>
            </w:r>
          </w:p>
        </w:tc>
        <w:tc>
          <w:tcPr>
            <w:tcW w:w="7145" w:type="dxa"/>
            <w:noWrap w:val="0"/>
            <w:vAlign w:val="center"/>
          </w:tcPr>
          <w:p w14:paraId="3AAF5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负责政府投资建设项目审计；负责审计信息化建设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提供信息化及大数据技术支持等工作。</w:t>
            </w:r>
          </w:p>
        </w:tc>
      </w:tr>
      <w:tr w14:paraId="47D64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15" w:hRule="atLeast"/>
          <w:jc w:val="center"/>
        </w:trPr>
        <w:tc>
          <w:tcPr>
            <w:tcW w:w="2896" w:type="dxa"/>
            <w:noWrap w:val="0"/>
            <w:vAlign w:val="center"/>
          </w:tcPr>
          <w:p w14:paraId="4ECFB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四川天府新区纪检监察信息中心</w:t>
            </w:r>
          </w:p>
        </w:tc>
        <w:tc>
          <w:tcPr>
            <w:tcW w:w="1515" w:type="dxa"/>
            <w:noWrap w:val="0"/>
            <w:vAlign w:val="center"/>
          </w:tcPr>
          <w:p w14:paraId="14C9A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公益一类</w:t>
            </w:r>
          </w:p>
        </w:tc>
        <w:tc>
          <w:tcPr>
            <w:tcW w:w="2010" w:type="dxa"/>
            <w:noWrap w:val="0"/>
            <w:vAlign w:val="center"/>
          </w:tcPr>
          <w:p w14:paraId="3075C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四川天府新区科学城北路东段2024号</w:t>
            </w:r>
          </w:p>
        </w:tc>
        <w:tc>
          <w:tcPr>
            <w:tcW w:w="7145" w:type="dxa"/>
            <w:noWrap w:val="0"/>
            <w:vAlign w:val="center"/>
          </w:tcPr>
          <w:p w14:paraId="0209E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负责党风廉政建设和反腐败宣传教育、廉洁文化建设、调查研究、法规、申诉等工作；负责纪检监察巡察信息化建设、数字化应用系统的管理运维、网络信息安全、设备和技术保障等工作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；配合开展数字化办案等工作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 w14:paraId="14069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 w:hRule="atLeast"/>
          <w:jc w:val="center"/>
        </w:trPr>
        <w:tc>
          <w:tcPr>
            <w:tcW w:w="2896" w:type="dxa"/>
            <w:noWrap w:val="0"/>
            <w:vAlign w:val="center"/>
          </w:tcPr>
          <w:p w14:paraId="73B99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四川天府新区人力资源服务中心</w:t>
            </w:r>
          </w:p>
        </w:tc>
        <w:tc>
          <w:tcPr>
            <w:tcW w:w="1515" w:type="dxa"/>
            <w:noWrap w:val="0"/>
            <w:vAlign w:val="center"/>
          </w:tcPr>
          <w:p w14:paraId="3AFC8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公益一类</w:t>
            </w:r>
          </w:p>
        </w:tc>
        <w:tc>
          <w:tcPr>
            <w:tcW w:w="2010" w:type="dxa"/>
            <w:noWrap w:val="0"/>
            <w:vAlign w:val="center"/>
          </w:tcPr>
          <w:p w14:paraId="29994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四川天府新区科学城北路东段2024号</w:t>
            </w:r>
          </w:p>
        </w:tc>
        <w:tc>
          <w:tcPr>
            <w:tcW w:w="7145" w:type="dxa"/>
            <w:noWrap w:val="0"/>
            <w:vAlign w:val="center"/>
          </w:tcPr>
          <w:p w14:paraId="4EBAF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负责流动人员人事档案管理服务、人才集体户管理服务、流动人才党员教育管理服务以及专业技术职务申报工作。</w:t>
            </w:r>
          </w:p>
        </w:tc>
      </w:tr>
      <w:tr w14:paraId="1E5B5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896" w:type="dxa"/>
            <w:noWrap w:val="0"/>
            <w:vAlign w:val="center"/>
          </w:tcPr>
          <w:p w14:paraId="4C228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四川天府新区基层治理发展中心</w:t>
            </w:r>
          </w:p>
        </w:tc>
        <w:tc>
          <w:tcPr>
            <w:tcW w:w="1515" w:type="dxa"/>
            <w:noWrap w:val="0"/>
            <w:vAlign w:val="center"/>
          </w:tcPr>
          <w:p w14:paraId="31582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公益一类</w:t>
            </w:r>
          </w:p>
        </w:tc>
        <w:tc>
          <w:tcPr>
            <w:tcW w:w="2010" w:type="dxa"/>
            <w:noWrap w:val="0"/>
            <w:vAlign w:val="center"/>
          </w:tcPr>
          <w:p w14:paraId="1C863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四川天府新区科学城北路东段2024号</w:t>
            </w:r>
          </w:p>
        </w:tc>
        <w:tc>
          <w:tcPr>
            <w:tcW w:w="7145" w:type="dxa"/>
            <w:noWrap w:val="0"/>
            <w:vAlign w:val="center"/>
          </w:tcPr>
          <w:p w14:paraId="5A339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负责开展社会工作服务理论研究，制定相关规范和标准；负责社会工作人才评价、专家库建设及人才培训；指导新区社会工作机构和志愿组织依法活动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推动社会工作和志愿服务体系建设。</w:t>
            </w:r>
          </w:p>
        </w:tc>
      </w:tr>
      <w:tr w14:paraId="31847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896" w:type="dxa"/>
            <w:noWrap w:val="0"/>
            <w:vAlign w:val="center"/>
          </w:tcPr>
          <w:p w14:paraId="236DE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四川天府新区劳动人事争议仲裁院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就业服务中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心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515" w:type="dxa"/>
            <w:noWrap w:val="0"/>
            <w:vAlign w:val="center"/>
          </w:tcPr>
          <w:p w14:paraId="3DB70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公益一类</w:t>
            </w:r>
          </w:p>
        </w:tc>
        <w:tc>
          <w:tcPr>
            <w:tcW w:w="2010" w:type="dxa"/>
            <w:noWrap w:val="0"/>
            <w:vAlign w:val="center"/>
          </w:tcPr>
          <w:p w14:paraId="092B4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四川天府新区科学城北路东段2024号</w:t>
            </w:r>
          </w:p>
        </w:tc>
        <w:tc>
          <w:tcPr>
            <w:tcW w:w="7145" w:type="dxa"/>
            <w:noWrap w:val="0"/>
            <w:vAlign w:val="center"/>
          </w:tcPr>
          <w:p w14:paraId="35F25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负责宣传劳动就业法规政策开展争议调解仲裁及就业创业服务；管理仲裁员队伍并承办辖区争议案件，承担仲裁委日常工作；统筹就业资金管理、就业援助促进、职业技能培训、失业保险核发及农民工服务保障；推进劳动就业公共服务体系与信息化建设，指导街道开展就业服务。</w:t>
            </w:r>
          </w:p>
        </w:tc>
      </w:tr>
      <w:tr w14:paraId="38271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896" w:type="dxa"/>
            <w:noWrap w:val="0"/>
            <w:vAlign w:val="center"/>
          </w:tcPr>
          <w:p w14:paraId="4F69C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四川天府新区矛盾化解协调中心</w:t>
            </w:r>
          </w:p>
        </w:tc>
        <w:tc>
          <w:tcPr>
            <w:tcW w:w="1515" w:type="dxa"/>
            <w:noWrap w:val="0"/>
            <w:vAlign w:val="center"/>
          </w:tcPr>
          <w:p w14:paraId="61F90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公益一类</w:t>
            </w:r>
          </w:p>
        </w:tc>
        <w:tc>
          <w:tcPr>
            <w:tcW w:w="2010" w:type="dxa"/>
            <w:noWrap w:val="0"/>
            <w:vAlign w:val="center"/>
          </w:tcPr>
          <w:p w14:paraId="4979D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四川天府新区华阳街道海洋路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169号</w:t>
            </w:r>
          </w:p>
        </w:tc>
        <w:tc>
          <w:tcPr>
            <w:tcW w:w="7145" w:type="dxa"/>
            <w:noWrap w:val="0"/>
            <w:vAlign w:val="center"/>
          </w:tcPr>
          <w:p w14:paraId="4E5E5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负责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整合辖区综治资源，定期分析治安形势，研究制定维护社会稳定和社会治安的对策措施，开展平安创建，规范网格管理，建立健全矛盾纠纷调处和治安防控工作体系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履行人民调解职责，进行法治宣传，接受投诉举报，收集上报社情民意。</w:t>
            </w:r>
          </w:p>
        </w:tc>
      </w:tr>
      <w:tr w14:paraId="2ED1D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896" w:type="dxa"/>
            <w:noWrap w:val="0"/>
            <w:vAlign w:val="center"/>
          </w:tcPr>
          <w:p w14:paraId="1FC21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四川天府新区农业综合服务中心</w:t>
            </w:r>
          </w:p>
        </w:tc>
        <w:tc>
          <w:tcPr>
            <w:tcW w:w="1515" w:type="dxa"/>
            <w:noWrap w:val="0"/>
            <w:vAlign w:val="center"/>
          </w:tcPr>
          <w:p w14:paraId="1792B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公益一类</w:t>
            </w:r>
          </w:p>
        </w:tc>
        <w:tc>
          <w:tcPr>
            <w:tcW w:w="2010" w:type="dxa"/>
            <w:noWrap w:val="0"/>
            <w:vAlign w:val="center"/>
          </w:tcPr>
          <w:p w14:paraId="16E69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四川天府新区科学城北路东段2024号</w:t>
            </w:r>
          </w:p>
        </w:tc>
        <w:tc>
          <w:tcPr>
            <w:tcW w:w="7145" w:type="dxa"/>
            <w:noWrap w:val="0"/>
            <w:vAlign w:val="center"/>
          </w:tcPr>
          <w:p w14:paraId="406D5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负责农业服务、合作经济、农业机械化、供销合作、农产品质量安全监督管理相关事务服务工作；承担农业统计、农村经济运行监测分析工作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负责兽医医政、兽药药政药检、动物卫生监督、动植物疫病防疫检疫等工作。</w:t>
            </w:r>
          </w:p>
        </w:tc>
      </w:tr>
      <w:tr w14:paraId="18CC3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896" w:type="dxa"/>
            <w:noWrap w:val="0"/>
            <w:vAlign w:val="center"/>
          </w:tcPr>
          <w:p w14:paraId="037ED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四川天府新区教育事业发展中心</w:t>
            </w:r>
          </w:p>
        </w:tc>
        <w:tc>
          <w:tcPr>
            <w:tcW w:w="1515" w:type="dxa"/>
            <w:noWrap w:val="0"/>
            <w:vAlign w:val="center"/>
          </w:tcPr>
          <w:p w14:paraId="02BE6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公益一类</w:t>
            </w:r>
          </w:p>
        </w:tc>
        <w:tc>
          <w:tcPr>
            <w:tcW w:w="2010" w:type="dxa"/>
            <w:noWrap w:val="0"/>
            <w:vAlign w:val="center"/>
          </w:tcPr>
          <w:p w14:paraId="76083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四川天府新区科学城北路东段2024号</w:t>
            </w:r>
          </w:p>
        </w:tc>
        <w:tc>
          <w:tcPr>
            <w:tcW w:w="7145" w:type="dxa"/>
            <w:noWrap w:val="0"/>
            <w:vAlign w:val="center"/>
          </w:tcPr>
          <w:p w14:paraId="4407C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负责教育动态信息收集分析、区域教育重点问题调查研究、教育政策实施评估、学校及幼儿园课程发展、融合教育等基础工作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开展区域学校及幼儿园薄弱环节改善、创新型教师教育、儿童友好环境建设等示范项目。</w:t>
            </w:r>
          </w:p>
        </w:tc>
      </w:tr>
      <w:tr w14:paraId="32752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896" w:type="dxa"/>
            <w:noWrap w:val="0"/>
            <w:vAlign w:val="center"/>
          </w:tcPr>
          <w:p w14:paraId="49B88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四川天府新区消费者权益保护中心</w:t>
            </w:r>
          </w:p>
        </w:tc>
        <w:tc>
          <w:tcPr>
            <w:tcW w:w="1515" w:type="dxa"/>
            <w:noWrap w:val="0"/>
            <w:vAlign w:val="center"/>
          </w:tcPr>
          <w:p w14:paraId="7E2CD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公益一类</w:t>
            </w:r>
          </w:p>
        </w:tc>
        <w:tc>
          <w:tcPr>
            <w:tcW w:w="2010" w:type="dxa"/>
            <w:noWrap w:val="0"/>
            <w:vAlign w:val="center"/>
          </w:tcPr>
          <w:p w14:paraId="3C1F4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四川天府新区兴隆街道集萃街598号</w:t>
            </w:r>
          </w:p>
        </w:tc>
        <w:tc>
          <w:tcPr>
            <w:tcW w:w="7145" w:type="dxa"/>
            <w:noWrap w:val="0"/>
            <w:vAlign w:val="center"/>
          </w:tcPr>
          <w:p w14:paraId="0D620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负责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开展保护消费宣传、消费教育、消费指导活动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；统筹跨部门消费纠纷分流指导；负责受理消费者投诉，并对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投诉事项进行调查、调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解，支持依法提起诉讼；负责消费者权益保护工作，指导新区消费者协会开展日常工作。</w:t>
            </w:r>
          </w:p>
        </w:tc>
      </w:tr>
      <w:tr w14:paraId="4DC4B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896" w:type="dxa"/>
            <w:noWrap w:val="0"/>
            <w:vAlign w:val="center"/>
          </w:tcPr>
          <w:p w14:paraId="43F2F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四川天府新区智慧蓉城运行中心</w:t>
            </w:r>
          </w:p>
        </w:tc>
        <w:tc>
          <w:tcPr>
            <w:tcW w:w="1515" w:type="dxa"/>
            <w:noWrap w:val="0"/>
            <w:vAlign w:val="center"/>
          </w:tcPr>
          <w:p w14:paraId="27B9B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公益一类</w:t>
            </w:r>
          </w:p>
        </w:tc>
        <w:tc>
          <w:tcPr>
            <w:tcW w:w="2010" w:type="dxa"/>
            <w:noWrap w:val="0"/>
            <w:vAlign w:val="center"/>
          </w:tcPr>
          <w:p w14:paraId="74EE7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四川天府新区科学城北路东段2024号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7145" w:type="dxa"/>
            <w:noWrap w:val="0"/>
            <w:vAlign w:val="center"/>
          </w:tcPr>
          <w:p w14:paraId="2181A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负责智慧蓉城运行管理的指挥协调、指导监督和考核评价；统筹推进两级智慧蓉城运行管理平台建设、管理和运行维护；系统推进城市运行“一网统管”工作；承担智慧蓉城建设领导小组办公室日常工作。</w:t>
            </w:r>
          </w:p>
        </w:tc>
      </w:tr>
    </w:tbl>
    <w:p w14:paraId="3F2B6F4C"/>
    <w:p w14:paraId="44534F4B">
      <w:pPr>
        <w:pStyle w:val="2"/>
        <w:rPr>
          <w:rFonts w:hint="default"/>
          <w:lang w:val="en-US" w:eastAsia="zh-CN"/>
        </w:rPr>
      </w:pPr>
    </w:p>
    <w:p w14:paraId="05304D96">
      <w:pPr>
        <w:spacing w:line="520" w:lineRule="exact"/>
        <w:rPr>
          <w:rFonts w:hint="eastAsia" w:ascii="黑体" w:hAnsi="黑体" w:eastAsia="黑体" w:cs="黑体"/>
          <w:spacing w:val="-6"/>
          <w:sz w:val="28"/>
          <w:szCs w:val="28"/>
        </w:rPr>
      </w:pPr>
      <w:bookmarkStart w:id="0" w:name="_GoBack"/>
      <w:bookmarkEnd w:id="0"/>
    </w:p>
    <w:p w14:paraId="75AEA8AD">
      <w:pPr>
        <w:spacing w:line="520" w:lineRule="exact"/>
        <w:rPr>
          <w:rFonts w:hint="eastAsia" w:ascii="黑体" w:hAnsi="黑体" w:eastAsia="黑体" w:cs="黑体"/>
          <w:spacing w:val="-6"/>
          <w:sz w:val="28"/>
          <w:szCs w:val="28"/>
        </w:rPr>
      </w:pPr>
    </w:p>
    <w:p w14:paraId="199833D5">
      <w:pPr>
        <w:spacing w:line="520" w:lineRule="exact"/>
        <w:rPr>
          <w:rFonts w:hint="eastAsia" w:ascii="黑体" w:hAnsi="黑体" w:eastAsia="黑体" w:cs="黑体"/>
          <w:spacing w:val="-6"/>
          <w:sz w:val="28"/>
          <w:szCs w:val="28"/>
        </w:rPr>
      </w:pPr>
    </w:p>
    <w:p w14:paraId="2376265B">
      <w:pPr>
        <w:spacing w:line="520" w:lineRule="exact"/>
        <w:rPr>
          <w:rFonts w:hint="eastAsia" w:ascii="黑体" w:hAnsi="黑体" w:eastAsia="黑体" w:cs="黑体"/>
          <w:spacing w:val="-6"/>
          <w:sz w:val="28"/>
          <w:szCs w:val="28"/>
        </w:rPr>
      </w:pPr>
    </w:p>
    <w:p w14:paraId="1BD08DE3">
      <w:pPr>
        <w:spacing w:line="520" w:lineRule="exact"/>
        <w:rPr>
          <w:rFonts w:hint="eastAsia" w:ascii="黑体" w:hAnsi="黑体" w:eastAsia="黑体" w:cs="黑体"/>
          <w:spacing w:val="-6"/>
          <w:sz w:val="28"/>
          <w:szCs w:val="28"/>
        </w:rPr>
      </w:pPr>
    </w:p>
    <w:p w14:paraId="063689EE">
      <w:pPr>
        <w:spacing w:line="520" w:lineRule="exact"/>
        <w:rPr>
          <w:rFonts w:hint="eastAsia" w:ascii="黑体" w:hAnsi="黑体" w:eastAsia="黑体" w:cs="黑体"/>
          <w:spacing w:val="-6"/>
          <w:sz w:val="28"/>
          <w:szCs w:val="28"/>
        </w:rPr>
      </w:pPr>
    </w:p>
    <w:p w14:paraId="5A83A6FE">
      <w:pPr>
        <w:rPr>
          <w:color w:val="auto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9EEDC5B-F30F-4BD2-A06D-C08281E2C99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565E61E-7775-427A-AF9D-27D7877A7C8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1FF4308-3842-4E65-9C97-E19320FADCB6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754B16E-E82F-437A-8A7B-CD799A51A456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C5F9E7B1-462B-4A88-BD2F-F8BED9E6E92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5C66F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42FF1"/>
    <w:rsid w:val="039E2CB1"/>
    <w:rsid w:val="06712BB6"/>
    <w:rsid w:val="06BE2ED5"/>
    <w:rsid w:val="09194DB0"/>
    <w:rsid w:val="1CB42FF1"/>
    <w:rsid w:val="21C818D6"/>
    <w:rsid w:val="23D02D38"/>
    <w:rsid w:val="27F01E61"/>
    <w:rsid w:val="2A86112F"/>
    <w:rsid w:val="39B77A0C"/>
    <w:rsid w:val="3A1E08FF"/>
    <w:rsid w:val="46BC781A"/>
    <w:rsid w:val="528B7661"/>
    <w:rsid w:val="5ACD39D4"/>
    <w:rsid w:val="5C206860"/>
    <w:rsid w:val="5D9500AD"/>
    <w:rsid w:val="67DD1876"/>
    <w:rsid w:val="689478DF"/>
    <w:rsid w:val="69E3051E"/>
    <w:rsid w:val="708B7FC0"/>
    <w:rsid w:val="727006C0"/>
    <w:rsid w:val="72D5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style51"/>
    <w:qFormat/>
    <w:uiPriority w:val="0"/>
    <w:rPr>
      <w:rFonts w:ascii="Times New Roman" w:hAnsi="Times New Roman" w:eastAsia="宋体" w:cs="Times New Roman"/>
      <w:color w:val="000000"/>
      <w:sz w:val="18"/>
      <w:szCs w:val="18"/>
      <w:u w:val="none"/>
      <w:lang w:bidi="ar-SA"/>
    </w:rPr>
  </w:style>
  <w:style w:type="paragraph" w:customStyle="1" w:styleId="8">
    <w:name w:val="BodyText1I2"/>
    <w:qFormat/>
    <w:uiPriority w:val="0"/>
    <w:pPr>
      <w:widowControl w:val="0"/>
      <w:ind w:left="200" w:firstLine="420" w:firstLineChars="200"/>
      <w:jc w:val="both"/>
      <w:textAlignment w:val="baseline"/>
    </w:pPr>
    <w:rPr>
      <w:rFonts w:ascii="仿宋_GB2312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customStyle="1" w:styleId="9">
    <w:name w:val="首行缩进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1286</Words>
  <Characters>1316</Characters>
  <Lines>0</Lines>
  <Paragraphs>0</Paragraphs>
  <TotalTime>4</TotalTime>
  <ScaleCrop>false</ScaleCrop>
  <LinksUpToDate>false</LinksUpToDate>
  <CharactersWithSpaces>1319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2025-05-13T06:39:00Z</dcterms:created>
  <dc:creator>Administrator</dc:creator>
  <cp:lastModifiedBy>王小芸</cp:lastModifiedBy>
  <cp:lastPrinted>2025-05-19T01:27:00Z</cp:lastPrinted>
  <dcterms:modified xsi:type="dcterms:W3CDTF">2025-05-19T05:22:48Z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F2C3B4BD7D7140C3B8CCDFDD1F00D79C_13</vt:lpwstr>
  </property>
  <property fmtid="{D5CDD505-2E9C-101B-9397-08002B2CF9AE}" pid="4" name="KSOTemplateDocerSaveRecord">
    <vt:lpwstr>eyJoZGlkIjoiYzc3Y2VkYzJhZTM0NDg5NDVlMzg3NmQwNzkzMWRkNzIiLCJ1c2VySWQiOiIzMzA1ODQzODcifQ==</vt:lpwstr>
  </property>
</Properties>
</file>