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附件</w:t>
      </w:r>
      <w:r>
        <w:rPr>
          <w:rFonts w:ascii="Times New Roman" w:hAnsi="Times New Roman" w:eastAsia="方正仿宋_GBK"/>
          <w:b/>
          <w:bCs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jc w:val="center"/>
        <w:rPr>
          <w:rFonts w:ascii="方正小标宋_GBK" w:hAnsi="Times New Roman" w:eastAsia="方正小标宋_GBK"/>
          <w:b/>
          <w:sz w:val="32"/>
          <w:szCs w:val="32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报考提示</w:t>
      </w:r>
    </w:p>
    <w:p>
      <w:pPr>
        <w:jc w:val="center"/>
        <w:rPr>
          <w:rFonts w:ascii="Times New Roman" w:hAnsi="Times New Roman" w:eastAsia="方正小标宋简体"/>
          <w:b/>
          <w:sz w:val="32"/>
          <w:szCs w:val="32"/>
        </w:rPr>
      </w:pPr>
    </w:p>
    <w:p>
      <w:pPr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1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2014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8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月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11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日以后发布公告招录的乡镇公务员，以及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2015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届以后分配到乡镇工作的选调生，在乡镇的最低服务年限为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5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年（含试用期），其中通过定向考录等优惠政策录用到乡镇的最低服务年限为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8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年（含试用期）。</w:t>
      </w:r>
    </w:p>
    <w:p>
      <w:pPr>
        <w:adjustRightInd w:val="0"/>
        <w:snapToGrid w:val="0"/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2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通过降低进入门槛等倾斜政策（包括降低学历条件、降低开考比例、少数民族考生加分、加试少数民族语言、限定本地户籍、限定最低服务年限等）录用的公务员，应当在所报考市（州）辖区内的艰苦边远县乡机关满规定的最低服务年限；未满最低服务年限的，不得交流（含公开遴选〈考调〉）到本市（州）内的上级机关和非艰苦边远地区的机关；也不得交流（含公开遴选〈考调〉）到本省内其他市（州）和其他省（区、市）的机关（包括其中艰苦边远地区的机关）。</w:t>
      </w:r>
    </w:p>
    <w:p>
      <w:pPr>
        <w:adjustRightInd w:val="0"/>
        <w:snapToGrid w:val="0"/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3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通过定向招录、专项招录及特殊职位招录等录用的公务员（如：公安机关、监狱戒毒场所、机要系统等新招录人员，新招录基层司法助理员、艰苦边远地区法官助理检察官助理，政法干警招录培养体制改革试点班学员</w:t>
      </w:r>
      <w:r>
        <w:rPr>
          <w:rFonts w:ascii="方正仿宋_GBK" w:eastAsia="方正仿宋_GBK"/>
          <w:b/>
          <w:spacing w:val="8"/>
          <w:sz w:val="32"/>
          <w:szCs w:val="32"/>
        </w:rPr>
        <w:t>&lt;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简称“政法体改生”</w:t>
      </w:r>
      <w:r>
        <w:rPr>
          <w:rFonts w:ascii="方正仿宋_GBK" w:eastAsia="方正仿宋_GBK"/>
          <w:b/>
          <w:spacing w:val="8"/>
          <w:sz w:val="32"/>
          <w:szCs w:val="32"/>
        </w:rPr>
        <w:t>&gt;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4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2018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年以后新录用选调生，到村任职时间未</w:t>
      </w:r>
      <w:r>
        <w:rPr>
          <w:rFonts w:hint="eastAsia" w:ascii="Times New Roman" w:hAnsi="Times New Roman" w:eastAsia="方正仿宋_GBK"/>
          <w:b/>
          <w:spacing w:val="8"/>
          <w:sz w:val="32"/>
          <w:szCs w:val="32"/>
        </w:rPr>
        <w:t>满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年的不得参加公开遴选（考调）。</w:t>
      </w:r>
    </w:p>
    <w:p>
      <w:pPr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5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乡镇党政正职任期不</w:t>
      </w:r>
      <w:r>
        <w:rPr>
          <w:rFonts w:hint="eastAsia" w:ascii="Times New Roman" w:hAnsi="Times New Roman" w:eastAsia="方正仿宋_GBK"/>
          <w:b/>
          <w:spacing w:val="8"/>
          <w:sz w:val="32"/>
          <w:szCs w:val="32"/>
        </w:rPr>
        <w:t>满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3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年的，一律不得报考。</w:t>
      </w:r>
    </w:p>
    <w:p>
      <w:pPr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6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对存在达到服务年限前违规调离（含提拔担任领导职务）情形的，在处理整改前资格审查不通过。</w:t>
      </w:r>
    </w:p>
    <w:p>
      <w:pPr>
        <w:spacing w:line="580" w:lineRule="exact"/>
        <w:ind w:firstLine="674" w:firstLineChars="200"/>
        <w:rPr>
          <w:rFonts w:ascii="方正仿宋_GBK" w:eastAsia="方正仿宋_GBK"/>
          <w:b/>
          <w:bCs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7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bCs/>
          <w:spacing w:val="8"/>
          <w:sz w:val="32"/>
          <w:szCs w:val="32"/>
        </w:rPr>
        <w:t>基层工作经历时间的计算和认定要注意把握以下原则：到基层党政机关、事业单位、国有企业工作的，基层工作经历时间一般自报到之日算起；到其他经济组织、社会组织等单位工作的，基层工作经历时间一般以劳动合同约定的起始时间算起。基层工作时间可累计计算，在基层工作期间借调上级部门等实际未在基层工作的，其未在基层工作的时间应从基层工作经历时间中扣除。</w:t>
      </w:r>
    </w:p>
    <w:p>
      <w:pPr>
        <w:spacing w:line="580" w:lineRule="exact"/>
        <w:ind w:firstLine="649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8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计算本级机关工作时间时，市（州）、县（市、区）、乡镇（街道）三级分别算作一级机关。本级机关工作时间以正式任职时间（含试用期）计算</w:t>
      </w:r>
      <w:r>
        <w:rPr>
          <w:rFonts w:hint="eastAsia" w:ascii="方正仿宋_GBK" w:eastAsia="方正仿宋_GBK"/>
          <w:b/>
          <w:bCs/>
          <w:spacing w:val="8"/>
          <w:sz w:val="32"/>
          <w:szCs w:val="32"/>
        </w:rPr>
        <w:t>，在本级机关借调工作的时间不能计算在内。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在不同地区的同一层级机关工作时间，以及前后不连续的同一层级机关工作时间，可以累计计算。</w:t>
      </w:r>
    </w:p>
    <w:p>
      <w:pPr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9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本机关工作时间以正式任职时间（含试用期）计算，</w:t>
      </w:r>
      <w:r>
        <w:rPr>
          <w:rFonts w:hint="eastAsia" w:ascii="方正仿宋_GBK" w:eastAsia="方正仿宋_GBK"/>
          <w:b/>
          <w:bCs/>
          <w:spacing w:val="8"/>
          <w:sz w:val="32"/>
          <w:szCs w:val="32"/>
        </w:rPr>
        <w:t>在本机关借调工作的时间不能计算在内。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同一级机关中属于同一党组（党委）管理的机关（单位）之间转任，其转任前后的工作时间可累计计算本机关工作时间。</w:t>
      </w:r>
    </w:p>
    <w:p>
      <w:pPr>
        <w:overflowPunct w:val="0"/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10</w:t>
      </w:r>
      <w:r>
        <w:rPr>
          <w:rFonts w:ascii="方正仿宋_GBK" w:eastAsia="方正仿宋_GBK"/>
          <w:b/>
          <w:spacing w:val="8"/>
          <w:sz w:val="32"/>
          <w:szCs w:val="32"/>
        </w:rPr>
        <w:t>.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“近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3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年年度考核”是指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2022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、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2023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、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2024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年的年度考核</w:t>
      </w:r>
      <w:r>
        <w:rPr>
          <w:rFonts w:hint="eastAsia" w:ascii="Times New Roman" w:hAnsi="Times New Roman" w:eastAsia="仿宋_GB2312"/>
          <w:b/>
          <w:bCs/>
          <w:spacing w:val="8"/>
          <w:sz w:val="32"/>
          <w:szCs w:val="32"/>
        </w:rPr>
        <w:t>，如截至目前尚未完成</w:t>
      </w:r>
      <w:r>
        <w:rPr>
          <w:rFonts w:ascii="Times New Roman" w:hAnsi="Times New Roman" w:eastAsia="仿宋_GB2312"/>
          <w:b/>
          <w:bCs/>
          <w:spacing w:val="8"/>
          <w:sz w:val="32"/>
          <w:szCs w:val="32"/>
        </w:rPr>
        <w:t>2024</w:t>
      </w:r>
      <w:r>
        <w:rPr>
          <w:rFonts w:hint="eastAsia" w:ascii="Times New Roman" w:hAnsi="Times New Roman" w:eastAsia="仿宋_GB2312"/>
          <w:b/>
          <w:bCs/>
          <w:spacing w:val="8"/>
          <w:sz w:val="32"/>
          <w:szCs w:val="32"/>
        </w:rPr>
        <w:t>年年度考核工作的，可暂按称职来把握，最终以实际考核结果为准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。如进入公务员队伍时间不</w:t>
      </w:r>
      <w:r>
        <w:rPr>
          <w:rFonts w:hint="eastAsia" w:ascii="Times New Roman" w:hAnsi="Times New Roman" w:eastAsia="方正仿宋_GBK"/>
          <w:b/>
          <w:spacing w:val="8"/>
          <w:sz w:val="32"/>
          <w:szCs w:val="32"/>
        </w:rPr>
        <w:t>足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3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，但已有的年度考核结果均无基本称职以下等次，年度考核结果符合要求。新录用公务员试用期年度考核不确定等次的，该年度考核结果符合要求。因受处分等导致年度考核不确定等次的，该年度考核结果不符合要求。</w:t>
      </w:r>
    </w:p>
    <w:p>
      <w:pPr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11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非普通高等学历教育的其他国民教育形式（如：自学考试、成人教育、网络教育、夜大、电大等）的毕业生取得毕业证后，符合职位要求资格条件的可以报考，有特殊要求的除外。</w:t>
      </w:r>
    </w:p>
    <w:p>
      <w:pPr>
        <w:spacing w:line="580" w:lineRule="exact"/>
        <w:ind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12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对于设置中共党员资格条件的职位，预备党员也可以报考。</w:t>
      </w:r>
    </w:p>
    <w:p>
      <w:pPr>
        <w:pStyle w:val="2"/>
        <w:spacing w:line="580" w:lineRule="exact"/>
        <w:ind w:left="0" w:firstLine="674" w:firstLineChars="200"/>
        <w:rPr>
          <w:rFonts w:eastAsia="方正仿宋_GBK"/>
          <w:spacing w:val="8"/>
        </w:rPr>
      </w:pPr>
      <w:r>
        <w:rPr>
          <w:rFonts w:ascii="Times New Roman" w:hAnsi="Times New Roman" w:eastAsia="方正仿宋_GBK"/>
          <w:b/>
          <w:spacing w:val="8"/>
          <w:sz w:val="32"/>
          <w:szCs w:val="32"/>
        </w:rPr>
        <w:t>13</w:t>
      </w:r>
      <w:r>
        <w:rPr>
          <w:rFonts w:ascii="方正仿宋_GBK" w:eastAsia="方正仿宋_GBK"/>
          <w:b/>
          <w:spacing w:val="8"/>
          <w:sz w:val="32"/>
          <w:szCs w:val="32"/>
        </w:rPr>
        <w:t xml:space="preserve">. 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考生不得报考低于其所任职务职级的遴选（考调）职位（如：四级主任科员不得报考拟任一级科员职级的职位）。</w:t>
      </w:r>
    </w:p>
    <w:p>
      <w:pPr>
        <w:pStyle w:val="2"/>
        <w:spacing w:line="580" w:lineRule="exact"/>
        <w:ind w:left="0" w:firstLine="674" w:firstLineChars="200"/>
        <w:rPr>
          <w:rFonts w:ascii="方正仿宋_GBK" w:eastAsia="方正仿宋_GBK"/>
          <w:b/>
          <w:spacing w:val="8"/>
          <w:sz w:val="32"/>
          <w:szCs w:val="32"/>
        </w:rPr>
      </w:pPr>
      <w:r>
        <w:rPr>
          <w:rFonts w:hint="eastAsia" w:ascii="方正仿宋_GBK" w:eastAsia="方正仿宋_GBK"/>
          <w:b/>
          <w:spacing w:val="8"/>
          <w:sz w:val="32"/>
          <w:szCs w:val="32"/>
        </w:rPr>
        <w:t>本报考提示仅适用于</w:t>
      </w:r>
      <w:r>
        <w:rPr>
          <w:rFonts w:ascii="Times New Roman" w:hAnsi="Times New Roman" w:eastAsia="方正仿宋_GBK"/>
          <w:b/>
          <w:spacing w:val="8"/>
          <w:sz w:val="32"/>
          <w:szCs w:val="32"/>
        </w:rPr>
        <w:t>2025</w:t>
      </w:r>
      <w:r>
        <w:rPr>
          <w:rFonts w:hint="eastAsia" w:ascii="方正仿宋_GBK" w:eastAsia="方正仿宋_GBK"/>
          <w:b/>
          <w:spacing w:val="8"/>
          <w:sz w:val="32"/>
          <w:szCs w:val="32"/>
        </w:rPr>
        <w:t>年度巴中市公开遴选（考调）公务员工作。涉及有关具体情况的把握和特殊情况的处理等未尽事宜，可直接电话咨询遴选（考调）单位。</w:t>
      </w:r>
    </w:p>
    <w:p>
      <w:pPr>
        <w:pStyle w:val="33"/>
        <w:spacing w:before="0" w:after="0"/>
        <w:ind w:firstLine="640"/>
        <w:rPr>
          <w:rFonts w:ascii="方正仿宋_GBK" w:eastAsia="方正仿宋_GBK"/>
          <w:sz w:val="32"/>
          <w:szCs w:val="32"/>
        </w:rPr>
      </w:pPr>
    </w:p>
    <w:p>
      <w:pPr>
        <w:pStyle w:val="33"/>
        <w:spacing w:before="0" w:after="0"/>
        <w:rPr>
          <w:rFonts w:ascii="方正仿宋_GBK" w:eastAsia="方正仿宋_GBK"/>
          <w:sz w:val="32"/>
          <w:szCs w:val="32"/>
        </w:rPr>
      </w:pPr>
    </w:p>
    <w:p>
      <w:pPr>
        <w:pStyle w:val="33"/>
        <w:spacing w:before="0" w:after="0"/>
        <w:rPr>
          <w:rFonts w:ascii="方正仿宋_GBK" w:eastAsia="方正仿宋_GBK"/>
          <w:sz w:val="32"/>
          <w:szCs w:val="32"/>
        </w:rPr>
      </w:pPr>
    </w:p>
    <w:p>
      <w:pPr>
        <w:ind w:right="105" w:rightChars="50"/>
        <w:rPr>
          <w:rFonts w:ascii="方正仿宋_GBK" w:eastAsia="方正仿宋_GBK"/>
          <w:b/>
          <w:sz w:val="30"/>
          <w:szCs w:val="30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5" w:right="1531" w:bottom="1871" w:left="1531" w:header="851" w:footer="1418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940"/>
        <w:tab w:val="clear" w:pos="4153"/>
        <w:tab w:val="clear" w:pos="8306"/>
      </w:tabs>
      <w:ind w:right="360" w:firstLine="360"/>
      <w:jc w:val="both"/>
      <w:rPr>
        <w:rFonts w:ascii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sz w:val="2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tabs>
                    <w:tab w:val="left" w:pos="940"/>
                  </w:tabs>
                  <w:rPr>
                    <w:rFonts w:ascii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</w:pPr>
    <w:r>
      <w:rPr>
        <w:rStyle w:val="19"/>
      </w:rPr>
      <w:fldChar w:fldCharType="begin"/>
    </w:r>
    <w:r>
      <w:rPr>
        <w:rStyle w:val="19"/>
      </w:rPr>
      <w:instrText xml:space="preserve">Page</w:instrText>
    </w:r>
    <w:r>
      <w:rPr>
        <w:rStyle w:val="19"/>
      </w:rPr>
      <w:fldChar w:fldCharType="separate"/>
    </w:r>
    <w:r>
      <w:rPr>
        <w:rStyle w:val="19"/>
      </w:rPr>
      <w:t>— 1 —</w:t>
    </w:r>
    <w:r>
      <w:rPr>
        <w:rStyle w:val="19"/>
      </w:rPr>
      <w:fldChar w:fldCharType="end"/>
    </w:r>
  </w:p>
  <w:p>
    <w:pPr>
      <w:pStyle w:val="11"/>
      <w:framePr w:wrap="around" w:vAnchor="text" w:hAnchor="margin" w:xAlign="right" w:y="1"/>
      <w:ind w:right="360" w:firstLine="360"/>
    </w:pPr>
    <w:r>
      <w:rPr>
        <w:rStyle w:val="19"/>
      </w:rPr>
      <w:fldChar w:fldCharType="begin"/>
    </w:r>
    <w:r>
      <w:rPr>
        <w:rStyle w:val="19"/>
      </w:rPr>
      <w:instrText xml:space="preserve">Page</w:instrText>
    </w:r>
    <w:r>
      <w:rPr>
        <w:rStyle w:val="19"/>
      </w:rPr>
      <w:fldChar w:fldCharType="separate"/>
    </w:r>
    <w:r>
      <w:rPr>
        <w:rStyle w:val="19"/>
      </w:rPr>
      <w:t>— 1 —</w:t>
    </w:r>
    <w:r>
      <w:rPr>
        <w:rStyle w:val="19"/>
      </w:rPr>
      <w:fldChar w:fldCharType="end"/>
    </w:r>
  </w:p>
  <w:p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</w:pPr>
    <w:r>
      <w:rPr>
        <w:rStyle w:val="19"/>
      </w:rPr>
      <w:fldChar w:fldCharType="begin"/>
    </w:r>
    <w:r>
      <w:rPr>
        <w:rStyle w:val="19"/>
      </w:rPr>
      <w:instrText xml:space="preserve">Page</w:instrText>
    </w:r>
    <w:r>
      <w:rPr>
        <w:rStyle w:val="19"/>
      </w:rPr>
      <w:fldChar w:fldCharType="separate"/>
    </w:r>
    <w:r>
      <w:rPr>
        <w:rStyle w:val="19"/>
      </w:rPr>
      <w:t>— 1 —</w:t>
    </w:r>
    <w:r>
      <w:rPr>
        <w:rStyle w:val="19"/>
      </w:rPr>
      <w:fldChar w:fldCharType="end"/>
    </w:r>
  </w:p>
  <w:p>
    <w:pPr>
      <w:pStyle w:val="11"/>
      <w:framePr w:wrap="around" w:vAnchor="text" w:hAnchor="margin" w:xAlign="right" w:y="1"/>
      <w:ind w:right="360" w:firstLine="360"/>
    </w:pPr>
    <w:r>
      <w:rPr>
        <w:rStyle w:val="19"/>
      </w:rPr>
      <w:fldChar w:fldCharType="begin"/>
    </w:r>
    <w:r>
      <w:rPr>
        <w:rStyle w:val="19"/>
      </w:rPr>
      <w:instrText xml:space="preserve">Page</w:instrText>
    </w:r>
    <w:r>
      <w:rPr>
        <w:rStyle w:val="19"/>
      </w:rPr>
      <w:fldChar w:fldCharType="separate"/>
    </w:r>
    <w:r>
      <w:rPr>
        <w:rStyle w:val="19"/>
      </w:rPr>
      <w:t>— 1 —</w:t>
    </w:r>
    <w:r>
      <w:rPr>
        <w:rStyle w:val="19"/>
      </w:rP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C56"/>
    <w:rsid w:val="00007562"/>
    <w:rsid w:val="000E0CF5"/>
    <w:rsid w:val="001D0BDA"/>
    <w:rsid w:val="001E1A5E"/>
    <w:rsid w:val="003338F6"/>
    <w:rsid w:val="00543121"/>
    <w:rsid w:val="00624E97"/>
    <w:rsid w:val="00643381"/>
    <w:rsid w:val="00667959"/>
    <w:rsid w:val="00A1157E"/>
    <w:rsid w:val="00A30BB1"/>
    <w:rsid w:val="00A902ED"/>
    <w:rsid w:val="00AE38B9"/>
    <w:rsid w:val="00B17106"/>
    <w:rsid w:val="00C653DF"/>
    <w:rsid w:val="00C65C56"/>
    <w:rsid w:val="00DA036B"/>
    <w:rsid w:val="00E24AC8"/>
    <w:rsid w:val="00FB00C1"/>
    <w:rsid w:val="3CFD2EF8"/>
    <w:rsid w:val="6BFF42A9"/>
    <w:rsid w:val="75E53B2C"/>
    <w:rsid w:val="DD7B36FC"/>
    <w:rsid w:val="EFBBB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qFormat="1" w:unhideWhenUsed="0" w:uiPriority="99" w:semiHidden="0" w:name="index 5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link w:val="22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6">
    <w:name w:val="Normal Indent"/>
    <w:basedOn w:val="1"/>
    <w:qFormat/>
    <w:uiPriority w:val="99"/>
    <w:pPr>
      <w:suppressAutoHyphens/>
      <w:ind w:firstLine="200" w:firstLineChars="200"/>
    </w:pPr>
    <w:rPr>
      <w:rFonts w:cs="Calibri"/>
    </w:rPr>
  </w:style>
  <w:style w:type="paragraph" w:styleId="7">
    <w:name w:val="Body Text"/>
    <w:basedOn w:val="1"/>
    <w:next w:val="2"/>
    <w:link w:val="23"/>
    <w:qFormat/>
    <w:uiPriority w:val="99"/>
    <w:pPr>
      <w:spacing w:after="120" w:line="440" w:lineRule="exact"/>
    </w:pPr>
    <w:rPr>
      <w:rFonts w:ascii="Times New Roman" w:hAnsi="Times New Roman"/>
      <w:szCs w:val="22"/>
    </w:rPr>
  </w:style>
  <w:style w:type="paragraph" w:styleId="8">
    <w:name w:val="toc 5"/>
    <w:basedOn w:val="1"/>
    <w:next w:val="1"/>
    <w:qFormat/>
    <w:uiPriority w:val="99"/>
    <w:pPr>
      <w:ind w:left="1680"/>
    </w:pPr>
  </w:style>
  <w:style w:type="paragraph" w:styleId="9">
    <w:name w:val="toc 3"/>
    <w:basedOn w:val="1"/>
    <w:next w:val="1"/>
    <w:qFormat/>
    <w:uiPriority w:val="99"/>
    <w:pPr>
      <w:ind w:left="840"/>
    </w:pPr>
  </w:style>
  <w:style w:type="paragraph" w:styleId="10">
    <w:name w:val="Body Text Indent 2"/>
    <w:basedOn w:val="1"/>
    <w:next w:val="1"/>
    <w:link w:val="24"/>
    <w:qFormat/>
    <w:uiPriority w:val="99"/>
    <w:pPr>
      <w:spacing w:line="560" w:lineRule="atLeast"/>
      <w:ind w:firstLine="225" w:firstLineChars="225"/>
    </w:pPr>
    <w:rPr>
      <w:rFonts w:ascii="仿宋_GB2312" w:hAnsi="仿宋_GB2312" w:eastAsia="方正仿宋简体" w:cs="仿宋_GB2312"/>
      <w:sz w:val="32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99"/>
  </w:style>
  <w:style w:type="paragraph" w:styleId="14">
    <w:name w:val="toc 4"/>
    <w:basedOn w:val="1"/>
    <w:next w:val="1"/>
    <w:qFormat/>
    <w:uiPriority w:val="99"/>
    <w:pPr>
      <w:ind w:left="1260"/>
    </w:pPr>
  </w:style>
  <w:style w:type="paragraph" w:styleId="15">
    <w:name w:val="toc 6"/>
    <w:basedOn w:val="1"/>
    <w:next w:val="1"/>
    <w:qFormat/>
    <w:uiPriority w:val="99"/>
    <w:pPr>
      <w:ind w:left="2100"/>
    </w:pPr>
  </w:style>
  <w:style w:type="paragraph" w:styleId="16">
    <w:name w:val="toc 2"/>
    <w:basedOn w:val="1"/>
    <w:next w:val="1"/>
    <w:qFormat/>
    <w:uiPriority w:val="99"/>
    <w:pPr>
      <w:ind w:left="420"/>
    </w:pPr>
  </w:style>
  <w:style w:type="character" w:styleId="19">
    <w:name w:val="page number"/>
    <w:basedOn w:val="18"/>
    <w:qFormat/>
    <w:uiPriority w:val="99"/>
    <w:rPr>
      <w:rFonts w:cs="Times New Roman"/>
    </w:rPr>
  </w:style>
  <w:style w:type="character" w:customStyle="1" w:styleId="20">
    <w:name w:val="Heading 1 Char"/>
    <w:basedOn w:val="18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1">
    <w:name w:val="Heading 2 Char"/>
    <w:basedOn w:val="18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Heading 3 Char"/>
    <w:basedOn w:val="18"/>
    <w:link w:val="5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Body Text Char"/>
    <w:basedOn w:val="18"/>
    <w:link w:val="7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4">
    <w:name w:val="Body Text Indent 2 Char"/>
    <w:basedOn w:val="18"/>
    <w:link w:val="10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5">
    <w:name w:val="Footer Char"/>
    <w:basedOn w:val="18"/>
    <w:link w:val="11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6">
    <w:name w:val="Header Char"/>
    <w:basedOn w:val="18"/>
    <w:link w:val="1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7">
    <w:name w:val="font141"/>
    <w:qFormat/>
    <w:uiPriority w:val="99"/>
    <w:rPr>
      <w:rFonts w:ascii="Times New Roman" w:hAnsi="Times New Roman"/>
      <w:b/>
      <w:color w:val="000000"/>
      <w:sz w:val="20"/>
      <w:u w:val="none"/>
    </w:rPr>
  </w:style>
  <w:style w:type="character" w:customStyle="1" w:styleId="28">
    <w:name w:val="font101"/>
    <w:qFormat/>
    <w:uiPriority w:val="99"/>
    <w:rPr>
      <w:rFonts w:ascii="方正仿宋_GBK" w:eastAsia="方正仿宋_GBK"/>
      <w:b/>
      <w:color w:val="000000"/>
      <w:sz w:val="20"/>
      <w:u w:val="none"/>
    </w:rPr>
  </w:style>
  <w:style w:type="character" w:customStyle="1" w:styleId="29">
    <w:name w:val="font31"/>
    <w:qFormat/>
    <w:uiPriority w:val="99"/>
    <w:rPr>
      <w:rFonts w:ascii="方正小标宋_GBK" w:eastAsia="方正小标宋_GBK"/>
      <w:b/>
      <w:color w:val="000000"/>
      <w:sz w:val="40"/>
      <w:u w:val="none"/>
    </w:rPr>
  </w:style>
  <w:style w:type="character" w:customStyle="1" w:styleId="30">
    <w:name w:val="font11"/>
    <w:qFormat/>
    <w:uiPriority w:val="99"/>
    <w:rPr>
      <w:rFonts w:ascii="Times New Roman" w:hAnsi="Times New Roman"/>
      <w:b/>
      <w:color w:val="000000"/>
      <w:sz w:val="40"/>
      <w:u w:val="none"/>
    </w:rPr>
  </w:style>
  <w:style w:type="character" w:customStyle="1" w:styleId="31">
    <w:name w:val="font151"/>
    <w:qFormat/>
    <w:uiPriority w:val="99"/>
    <w:rPr>
      <w:rFonts w:ascii="方正楷体_GBK" w:eastAsia="方正楷体_GBK"/>
      <w:b/>
      <w:color w:val="000000"/>
      <w:sz w:val="32"/>
      <w:u w:val="none"/>
    </w:rPr>
  </w:style>
  <w:style w:type="character" w:customStyle="1" w:styleId="32">
    <w:name w:val="font121"/>
    <w:qFormat/>
    <w:uiPriority w:val="99"/>
    <w:rPr>
      <w:rFonts w:ascii="Times New Roman" w:hAnsi="Times New Roman"/>
      <w:b/>
      <w:color w:val="000000"/>
      <w:sz w:val="32"/>
      <w:u w:val="none"/>
    </w:rPr>
  </w:style>
  <w:style w:type="paragraph" w:customStyle="1" w:styleId="33">
    <w:name w:val="标4"/>
    <w:basedOn w:val="1"/>
    <w:qFormat/>
    <w:uiPriority w:val="99"/>
    <w:pPr>
      <w:suppressAutoHyphens/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237</Words>
  <Characters>1352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uos</cp:lastModifiedBy>
  <cp:lastPrinted>2025-06-26T18:02:00Z</cp:lastPrinted>
  <dcterms:modified xsi:type="dcterms:W3CDTF">2025-06-27T11:55:03Z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